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3D8" w:rsidRPr="006A13D8" w:rsidRDefault="006A13D8" w:rsidP="006A13D8">
      <w:pPr>
        <w:pBdr>
          <w:bottom w:val="single" w:sz="6" w:space="1" w:color="auto"/>
        </w:pBdr>
        <w:spacing w:after="0" w:line="240" w:lineRule="auto"/>
        <w:jc w:val="center"/>
        <w:rPr>
          <w:rFonts w:ascii="Arial" w:eastAsia="Times New Roman" w:hAnsi="Arial" w:cs="Arial"/>
          <w:vanish/>
          <w:sz w:val="16"/>
          <w:szCs w:val="16"/>
          <w:lang w:eastAsia="hu-HU"/>
        </w:rPr>
      </w:pPr>
      <w:r w:rsidRPr="006A13D8">
        <w:rPr>
          <w:rFonts w:ascii="Arial" w:eastAsia="Times New Roman" w:hAnsi="Arial" w:cs="Arial"/>
          <w:vanish/>
          <w:sz w:val="16"/>
          <w:szCs w:val="16"/>
          <w:lang w:eastAsia="hu-HU"/>
        </w:rPr>
        <w:t>Az űrlap teteje</w:t>
      </w:r>
    </w:p>
    <w:tbl>
      <w:tblPr>
        <w:tblW w:w="5000" w:type="pct"/>
        <w:tblCellSpacing w:w="15" w:type="dxa"/>
        <w:tblCellMar>
          <w:top w:w="15" w:type="dxa"/>
          <w:left w:w="15" w:type="dxa"/>
          <w:bottom w:w="15" w:type="dxa"/>
          <w:right w:w="15" w:type="dxa"/>
        </w:tblCellMar>
        <w:tblLook w:val="04A0"/>
      </w:tblPr>
      <w:tblGrid>
        <w:gridCol w:w="2048"/>
        <w:gridCol w:w="7009"/>
        <w:gridCol w:w="105"/>
      </w:tblGrid>
      <w:tr w:rsidR="006A13D8" w:rsidRPr="006A13D8" w:rsidTr="006A13D8">
        <w:trPr>
          <w:tblCellSpacing w:w="15" w:type="dxa"/>
        </w:trPr>
        <w:tc>
          <w:tcPr>
            <w:tcW w:w="0" w:type="auto"/>
            <w:vAlign w:val="center"/>
            <w:hideMark/>
          </w:tcPr>
          <w:p w:rsidR="006A13D8" w:rsidRPr="006A13D8" w:rsidRDefault="006A13D8" w:rsidP="006A13D8">
            <w:pPr>
              <w:spacing w:after="0" w:line="240" w:lineRule="auto"/>
              <w:rPr>
                <w:rFonts w:ascii="Times New Roman" w:eastAsia="Times New Roman" w:hAnsi="Times New Roman" w:cs="Times New Roman"/>
                <w:sz w:val="24"/>
                <w:szCs w:val="24"/>
                <w:lang w:eastAsia="hu-HU"/>
              </w:rPr>
            </w:pPr>
            <w:bookmarkStart w:id="0" w:name="topOfResultDiv"/>
            <w:bookmarkEnd w:id="0"/>
            <w:r>
              <w:rPr>
                <w:rFonts w:ascii="Times New Roman" w:eastAsia="Times New Roman" w:hAnsi="Times New Roman" w:cs="Times New Roman"/>
                <w:noProof/>
                <w:sz w:val="24"/>
                <w:szCs w:val="24"/>
                <w:lang w:eastAsia="hu-HU"/>
              </w:rPr>
              <w:drawing>
                <wp:inline distT="0" distB="0" distL="0" distR="0">
                  <wp:extent cx="723900" cy="723900"/>
                  <wp:effectExtent l="19050" t="0" r="0" b="0"/>
                  <wp:docPr id="1" name="Kép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0" w:type="auto"/>
            <w:hideMark/>
          </w:tcPr>
          <w:p w:rsidR="006A13D8" w:rsidRPr="006A13D8" w:rsidRDefault="006A13D8" w:rsidP="006A13D8">
            <w:pPr>
              <w:spacing w:after="0" w:line="240" w:lineRule="auto"/>
              <w:rPr>
                <w:rFonts w:ascii="Times New Roman" w:eastAsia="Times New Roman" w:hAnsi="Times New Roman" w:cs="Times New Roman"/>
                <w:sz w:val="24"/>
                <w:szCs w:val="24"/>
                <w:lang w:eastAsia="hu-HU"/>
              </w:rPr>
            </w:pPr>
            <w:proofErr w:type="spellStart"/>
            <w:r w:rsidRPr="006A13D8">
              <w:rPr>
                <w:rFonts w:ascii="Times New Roman" w:eastAsia="Times New Roman" w:hAnsi="Times New Roman" w:cs="Times New Roman"/>
                <w:sz w:val="24"/>
                <w:szCs w:val="24"/>
                <w:lang w:eastAsia="hu-HU"/>
              </w:rPr>
              <w:t>InfoCuria</w:t>
            </w:r>
            <w:proofErr w:type="spellEnd"/>
            <w:r w:rsidRPr="006A13D8">
              <w:rPr>
                <w:rFonts w:ascii="Times New Roman" w:eastAsia="Times New Roman" w:hAnsi="Times New Roman" w:cs="Times New Roman"/>
                <w:sz w:val="24"/>
                <w:szCs w:val="24"/>
                <w:lang w:eastAsia="hu-HU"/>
              </w:rPr>
              <w:t xml:space="preserve"> - A Bíróság ítélkezési gyakorlata</w:t>
            </w:r>
          </w:p>
        </w:tc>
        <w:tc>
          <w:tcPr>
            <w:tcW w:w="0" w:type="auto"/>
            <w:hideMark/>
          </w:tcPr>
          <w:p w:rsidR="006A13D8" w:rsidRPr="006A13D8" w:rsidRDefault="006A13D8" w:rsidP="006A13D8">
            <w:pPr>
              <w:spacing w:after="0" w:line="240" w:lineRule="auto"/>
              <w:jc w:val="right"/>
              <w:rPr>
                <w:rFonts w:ascii="Times New Roman" w:eastAsia="Times New Roman" w:hAnsi="Times New Roman" w:cs="Times New Roman"/>
                <w:sz w:val="24"/>
                <w:szCs w:val="24"/>
                <w:lang w:eastAsia="hu-HU"/>
              </w:rPr>
            </w:pPr>
          </w:p>
        </w:tc>
      </w:tr>
    </w:tbl>
    <w:p w:rsidR="006A13D8" w:rsidRPr="006A13D8" w:rsidRDefault="006A13D8" w:rsidP="006A13D8">
      <w:pPr>
        <w:pBdr>
          <w:top w:val="single" w:sz="6" w:space="1" w:color="auto"/>
        </w:pBdr>
        <w:spacing w:after="0" w:line="240" w:lineRule="auto"/>
        <w:jc w:val="center"/>
        <w:rPr>
          <w:rFonts w:ascii="Arial" w:eastAsia="Times New Roman" w:hAnsi="Arial" w:cs="Arial"/>
          <w:vanish/>
          <w:sz w:val="16"/>
          <w:szCs w:val="16"/>
          <w:lang w:eastAsia="hu-HU"/>
        </w:rPr>
      </w:pPr>
      <w:r w:rsidRPr="006A13D8">
        <w:rPr>
          <w:rFonts w:ascii="Arial" w:eastAsia="Times New Roman" w:hAnsi="Arial" w:cs="Arial"/>
          <w:vanish/>
          <w:sz w:val="16"/>
          <w:szCs w:val="16"/>
          <w:lang w:eastAsia="hu-HU"/>
        </w:rPr>
        <w:t>Az űrlap alja</w:t>
      </w:r>
    </w:p>
    <w:p w:rsidR="006A13D8" w:rsidRPr="006A13D8" w:rsidRDefault="006A13D8" w:rsidP="006A13D8">
      <w:pPr>
        <w:spacing w:after="0"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xml:space="preserve">Navigáció </w:t>
      </w:r>
    </w:p>
    <w:p w:rsidR="006A13D8" w:rsidRPr="006A13D8" w:rsidRDefault="006A13D8" w:rsidP="006A13D8">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80975" cy="142875"/>
            <wp:effectExtent l="19050" t="0" r="9525" b="0"/>
            <wp:docPr id="2" name="Kép 2" descr="Előző dokumen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őző dokumentum"/>
                    <pic:cNvPicPr>
                      <a:picLocks noChangeAspect="1" noChangeArrowheads="1"/>
                    </pic:cNvPicPr>
                  </pic:nvPicPr>
                  <pic:blipFill>
                    <a:blip r:embed="rId6" cstate="print"/>
                    <a:srcRect/>
                    <a:stretch>
                      <a:fillRect/>
                    </a:stretch>
                  </pic:blipFill>
                  <pic:spPr bwMode="auto">
                    <a:xfrm>
                      <a:off x="0" y="0"/>
                      <a:ext cx="180975" cy="1428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33350" cy="142875"/>
            <wp:effectExtent l="19050" t="0" r="0" b="0"/>
            <wp:docPr id="3" name="Kép 3" descr="Előző előfordul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őző előfordulás"/>
                    <pic:cNvPicPr>
                      <a:picLocks noChangeAspect="1" noChangeArrowheads="1"/>
                    </pic:cNvPicPr>
                  </pic:nvPicPr>
                  <pic:blipFill>
                    <a:blip r:embed="rId7"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33350" cy="142875"/>
            <wp:effectExtent l="19050" t="0" r="0" b="0"/>
            <wp:docPr id="4" name="Kép 4" descr="Következő előfordul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övetkező előfordulás"/>
                    <pic:cNvPicPr>
                      <a:picLocks noChangeAspect="1" noChangeArrowheads="1"/>
                    </pic:cNvPicPr>
                  </pic:nvPicPr>
                  <pic:blipFill>
                    <a:blip r:embed="rId8"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hu-HU"/>
        </w:rPr>
        <w:drawing>
          <wp:inline distT="0" distB="0" distL="0" distR="0">
            <wp:extent cx="180975" cy="142875"/>
            <wp:effectExtent l="19050" t="0" r="9525" b="0"/>
            <wp:docPr id="5" name="Kép 5" descr="Következő dokumentum">
              <a:hlinkClick xmlns:a="http://schemas.openxmlformats.org/drawingml/2006/main" r:id="rId9" tooltip="&quot;Következő dokument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övetkező dokumentum">
                      <a:hlinkClick r:id="rId9" tooltip="&quot;Következő dokumentum&quot;"/>
                    </pic:cNvPr>
                    <pic:cNvPicPr>
                      <a:picLocks noChangeAspect="1" noChangeArrowheads="1"/>
                    </pic:cNvPicPr>
                  </pic:nvPicPr>
                  <pic:blipFill>
                    <a:blip r:embed="rId10" cstate="print"/>
                    <a:srcRect/>
                    <a:stretch>
                      <a:fillRect/>
                    </a:stretch>
                  </pic:blipFill>
                  <pic:spPr bwMode="auto">
                    <a:xfrm>
                      <a:off x="0" y="0"/>
                      <a:ext cx="180975" cy="142875"/>
                    </a:xfrm>
                    <a:prstGeom prst="rect">
                      <a:avLst/>
                    </a:prstGeom>
                    <a:noFill/>
                    <a:ln w="9525">
                      <a:noFill/>
                      <a:miter lim="800000"/>
                      <a:headEnd/>
                      <a:tailEnd/>
                    </a:ln>
                  </pic:spPr>
                </pic:pic>
              </a:graphicData>
            </a:graphic>
          </wp:inline>
        </w:drawing>
      </w:r>
    </w:p>
    <w:p w:rsidR="006A13D8" w:rsidRPr="006A13D8" w:rsidRDefault="006A13D8" w:rsidP="006A13D8">
      <w:pPr>
        <w:spacing w:after="0"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xml:space="preserve">Dokumentumok </w:t>
      </w:r>
    </w:p>
    <w:p w:rsidR="006A13D8" w:rsidRPr="006A13D8" w:rsidRDefault="00C0699E" w:rsidP="006A13D8">
      <w:pPr>
        <w:numPr>
          <w:ilvl w:val="0"/>
          <w:numId w:val="2"/>
        </w:numPr>
        <w:shd w:val="clear" w:color="auto" w:fill="98B0D8"/>
        <w:spacing w:before="100" w:beforeAutospacing="1" w:after="100" w:afterAutospacing="1" w:line="240" w:lineRule="auto"/>
        <w:rPr>
          <w:rFonts w:ascii="Times New Roman" w:eastAsia="Times New Roman" w:hAnsi="Times New Roman" w:cs="Times New Roman"/>
          <w:sz w:val="24"/>
          <w:szCs w:val="24"/>
          <w:lang w:eastAsia="hu-HU"/>
        </w:rPr>
      </w:pPr>
      <w:hyperlink r:id="rId11" w:history="1">
        <w:r w:rsidR="006A13D8" w:rsidRPr="006A13D8">
          <w:rPr>
            <w:rFonts w:ascii="Times New Roman" w:eastAsia="Times New Roman" w:hAnsi="Times New Roman" w:cs="Times New Roman"/>
            <w:color w:val="0000FF"/>
            <w:sz w:val="24"/>
            <w:szCs w:val="24"/>
            <w:u w:val="single"/>
            <w:lang w:eastAsia="hu-HU"/>
          </w:rPr>
          <w:t>C-42/15 - ítélet</w:t>
        </w:r>
      </w:hyperlink>
      <w:r w:rsidR="006A13D8" w:rsidRPr="006A13D8">
        <w:rPr>
          <w:rFonts w:ascii="Times New Roman" w:eastAsia="Times New Roman" w:hAnsi="Times New Roman" w:cs="Times New Roman"/>
          <w:sz w:val="24"/>
          <w:szCs w:val="24"/>
          <w:lang w:eastAsia="hu-HU"/>
        </w:rPr>
        <w:t xml:space="preserve"> </w:t>
      </w:r>
    </w:p>
    <w:p w:rsidR="006A13D8" w:rsidRPr="006A13D8" w:rsidRDefault="00C0699E" w:rsidP="006A13D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hu-HU"/>
        </w:rPr>
      </w:pPr>
      <w:hyperlink r:id="rId12" w:history="1">
        <w:r w:rsidR="006A13D8" w:rsidRPr="006A13D8">
          <w:rPr>
            <w:rFonts w:ascii="Times New Roman" w:eastAsia="Times New Roman" w:hAnsi="Times New Roman" w:cs="Times New Roman"/>
            <w:color w:val="0000FF"/>
            <w:sz w:val="24"/>
            <w:szCs w:val="24"/>
            <w:u w:val="single"/>
            <w:lang w:eastAsia="hu-HU"/>
          </w:rPr>
          <w:t>C-42/15 - indítvány</w:t>
        </w:r>
      </w:hyperlink>
      <w:r w:rsidR="006A13D8" w:rsidRPr="006A13D8">
        <w:rPr>
          <w:rFonts w:ascii="Times New Roman" w:eastAsia="Times New Roman" w:hAnsi="Times New Roman" w:cs="Times New Roman"/>
          <w:sz w:val="24"/>
          <w:szCs w:val="24"/>
          <w:lang w:eastAsia="hu-HU"/>
        </w:rPr>
        <w:t xml:space="preserve"> </w:t>
      </w:r>
    </w:p>
    <w:p w:rsidR="006A13D8" w:rsidRPr="006A13D8" w:rsidRDefault="00C0699E" w:rsidP="006A13D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hu-HU"/>
        </w:rPr>
      </w:pPr>
      <w:hyperlink r:id="rId13" w:history="1">
        <w:r w:rsidR="006A13D8" w:rsidRPr="006A13D8">
          <w:rPr>
            <w:rFonts w:ascii="Times New Roman" w:eastAsia="Times New Roman" w:hAnsi="Times New Roman" w:cs="Times New Roman"/>
            <w:color w:val="0000FF"/>
            <w:sz w:val="24"/>
            <w:szCs w:val="24"/>
            <w:u w:val="single"/>
            <w:lang w:eastAsia="hu-HU"/>
          </w:rPr>
          <w:t>C-42/15 - Kérelem (HL)</w:t>
        </w:r>
      </w:hyperlink>
      <w:r w:rsidR="006A13D8" w:rsidRPr="006A13D8">
        <w:rPr>
          <w:rFonts w:ascii="Times New Roman" w:eastAsia="Times New Roman" w:hAnsi="Times New Roman" w:cs="Times New Roman"/>
          <w:sz w:val="24"/>
          <w:szCs w:val="24"/>
          <w:lang w:eastAsia="hu-HU"/>
        </w:rPr>
        <w:t xml:space="preserve"> </w:t>
      </w:r>
    </w:p>
    <w:p w:rsidR="006A13D8" w:rsidRPr="006A13D8" w:rsidRDefault="006A13D8" w:rsidP="006A13D8">
      <w:pPr>
        <w:numPr>
          <w:ilvl w:val="0"/>
          <w:numId w:val="3"/>
        </w:numPr>
        <w:spacing w:before="100" w:beforeAutospacing="1" w:after="100" w:afterAutospacing="1" w:line="240" w:lineRule="auto"/>
        <w:jc w:val="center"/>
        <w:rPr>
          <w:rFonts w:ascii="Times New Roman" w:eastAsia="Times New Roman" w:hAnsi="Times New Roman" w:cs="Times New Roman"/>
          <w:sz w:val="24"/>
          <w:szCs w:val="24"/>
          <w:lang w:eastAsia="hu-HU"/>
        </w:rPr>
      </w:pPr>
    </w:p>
    <w:tbl>
      <w:tblPr>
        <w:tblW w:w="0" w:type="auto"/>
        <w:jc w:val="center"/>
        <w:tblCellSpacing w:w="0" w:type="dxa"/>
        <w:tblInd w:w="720" w:type="dxa"/>
        <w:tblCellMar>
          <w:left w:w="0" w:type="dxa"/>
          <w:right w:w="0" w:type="dxa"/>
        </w:tblCellMar>
        <w:tblLook w:val="04A0"/>
      </w:tblPr>
      <w:tblGrid>
        <w:gridCol w:w="1140"/>
      </w:tblGrid>
      <w:tr w:rsidR="006A13D8" w:rsidRPr="006A13D8" w:rsidTr="006A13D8">
        <w:trPr>
          <w:tblCellSpacing w:w="0" w:type="dxa"/>
          <w:jc w:val="center"/>
        </w:trPr>
        <w:tc>
          <w:tcPr>
            <w:tcW w:w="0" w:type="auto"/>
            <w:vAlign w:val="center"/>
            <w:hideMark/>
          </w:tcPr>
          <w:p w:rsidR="006A13D8" w:rsidRPr="006A13D8" w:rsidRDefault="006A13D8" w:rsidP="006A13D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80975" cy="142875"/>
                  <wp:effectExtent l="19050" t="0" r="9525" b="0"/>
                  <wp:docPr id="6" name="Kép 6" descr="Első ol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ső oldal"/>
                          <pic:cNvPicPr>
                            <a:picLocks noChangeAspect="1" noChangeArrowheads="1"/>
                          </pic:cNvPicPr>
                        </pic:nvPicPr>
                        <pic:blipFill>
                          <a:blip r:embed="rId6" cstate="print"/>
                          <a:srcRect/>
                          <a:stretch>
                            <a:fillRect/>
                          </a:stretch>
                        </pic:blipFill>
                        <pic:spPr bwMode="auto">
                          <a:xfrm>
                            <a:off x="0" y="0"/>
                            <a:ext cx="180975" cy="1428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33350" cy="142875"/>
                  <wp:effectExtent l="19050" t="0" r="0" b="0"/>
                  <wp:docPr id="7" name="Kép 7" descr="Előző ol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őző oldal"/>
                          <pic:cNvPicPr>
                            <a:picLocks noChangeAspect="1" noChangeArrowheads="1"/>
                          </pic:cNvPicPr>
                        </pic:nvPicPr>
                        <pic:blipFill>
                          <a:blip r:embed="rId7"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33350" cy="142875"/>
                  <wp:effectExtent l="19050" t="0" r="0" b="0"/>
                  <wp:docPr id="8" name="Kép 8" descr="Következő ol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övetkező oldal"/>
                          <pic:cNvPicPr>
                            <a:picLocks noChangeAspect="1" noChangeArrowheads="1"/>
                          </pic:cNvPicPr>
                        </pic:nvPicPr>
                        <pic:blipFill>
                          <a:blip r:embed="rId8"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80975" cy="142875"/>
                  <wp:effectExtent l="19050" t="0" r="9525" b="0"/>
                  <wp:docPr id="9" name="Kép 9" descr="Utolsó ol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tolsó oldal"/>
                          <pic:cNvPicPr>
                            <a:picLocks noChangeAspect="1" noChangeArrowheads="1"/>
                          </pic:cNvPicPr>
                        </pic:nvPicPr>
                        <pic:blipFill>
                          <a:blip r:embed="rId14" cstate="print"/>
                          <a:srcRect/>
                          <a:stretch>
                            <a:fillRect/>
                          </a:stretch>
                        </pic:blipFill>
                        <pic:spPr bwMode="auto">
                          <a:xfrm>
                            <a:off x="0" y="0"/>
                            <a:ext cx="180975" cy="142875"/>
                          </a:xfrm>
                          <a:prstGeom prst="rect">
                            <a:avLst/>
                          </a:prstGeom>
                          <a:noFill/>
                          <a:ln w="9525">
                            <a:noFill/>
                            <a:miter lim="800000"/>
                            <a:headEnd/>
                            <a:tailEnd/>
                          </a:ln>
                        </pic:spPr>
                      </pic:pic>
                    </a:graphicData>
                  </a:graphic>
                </wp:inline>
              </w:drawing>
            </w:r>
          </w:p>
        </w:tc>
      </w:tr>
      <w:tr w:rsidR="006A13D8" w:rsidRPr="006A13D8" w:rsidTr="006A13D8">
        <w:trPr>
          <w:tblCellSpacing w:w="0" w:type="dxa"/>
          <w:jc w:val="center"/>
        </w:trPr>
        <w:tc>
          <w:tcPr>
            <w:tcW w:w="0" w:type="auto"/>
            <w:vAlign w:val="center"/>
            <w:hideMark/>
          </w:tcPr>
          <w:p w:rsidR="006A13D8" w:rsidRPr="006A13D8" w:rsidRDefault="006A13D8" w:rsidP="006A13D8">
            <w:pPr>
              <w:spacing w:after="0"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br/>
              <w:t xml:space="preserve">1 /1 </w:t>
            </w:r>
          </w:p>
        </w:tc>
      </w:tr>
    </w:tbl>
    <w:p w:rsidR="006A13D8" w:rsidRPr="006A13D8" w:rsidRDefault="00C0699E" w:rsidP="006A13D8">
      <w:pPr>
        <w:spacing w:after="0" w:line="240" w:lineRule="auto"/>
        <w:rPr>
          <w:rFonts w:ascii="Times New Roman" w:eastAsia="Times New Roman" w:hAnsi="Times New Roman" w:cs="Times New Roman"/>
          <w:sz w:val="24"/>
          <w:szCs w:val="24"/>
          <w:lang w:eastAsia="hu-HU"/>
        </w:rPr>
      </w:pPr>
      <w:hyperlink r:id="rId15" w:history="1">
        <w:r w:rsidR="006A13D8" w:rsidRPr="006A13D8">
          <w:rPr>
            <w:rFonts w:ascii="Times New Roman" w:eastAsia="Times New Roman" w:hAnsi="Times New Roman" w:cs="Times New Roman"/>
            <w:b/>
            <w:bCs/>
            <w:color w:val="0000FF"/>
            <w:sz w:val="24"/>
            <w:szCs w:val="24"/>
            <w:u w:val="single"/>
            <w:lang w:eastAsia="hu-HU"/>
          </w:rPr>
          <w:t>Kezdőlap</w:t>
        </w:r>
      </w:hyperlink>
      <w:r w:rsidR="006A13D8" w:rsidRPr="006A13D8">
        <w:rPr>
          <w:rFonts w:ascii="Times New Roman" w:eastAsia="Times New Roman" w:hAnsi="Times New Roman" w:cs="Times New Roman"/>
          <w:b/>
          <w:bCs/>
          <w:sz w:val="24"/>
          <w:szCs w:val="24"/>
          <w:lang w:eastAsia="hu-HU"/>
        </w:rPr>
        <w:t xml:space="preserve"> &gt; </w:t>
      </w:r>
      <w:hyperlink r:id="rId16" w:history="1">
        <w:r w:rsidR="006A13D8" w:rsidRPr="006A13D8">
          <w:rPr>
            <w:rFonts w:ascii="Times New Roman" w:eastAsia="Times New Roman" w:hAnsi="Times New Roman" w:cs="Times New Roman"/>
            <w:b/>
            <w:bCs/>
            <w:color w:val="0000FF"/>
            <w:sz w:val="24"/>
            <w:szCs w:val="24"/>
            <w:u w:val="single"/>
            <w:lang w:eastAsia="hu-HU"/>
          </w:rPr>
          <w:t>Kereső</w:t>
        </w:r>
      </w:hyperlink>
      <w:r w:rsidR="006A13D8" w:rsidRPr="006A13D8">
        <w:rPr>
          <w:rFonts w:ascii="Times New Roman" w:eastAsia="Times New Roman" w:hAnsi="Times New Roman" w:cs="Times New Roman"/>
          <w:b/>
          <w:bCs/>
          <w:sz w:val="24"/>
          <w:szCs w:val="24"/>
          <w:lang w:eastAsia="hu-HU"/>
        </w:rPr>
        <w:t xml:space="preserve"> &gt; </w:t>
      </w:r>
      <w:hyperlink r:id="rId17" w:history="1">
        <w:proofErr w:type="gramStart"/>
        <w:r w:rsidR="006A13D8" w:rsidRPr="006A13D8">
          <w:rPr>
            <w:rFonts w:ascii="Times New Roman" w:eastAsia="Times New Roman" w:hAnsi="Times New Roman" w:cs="Times New Roman"/>
            <w:b/>
            <w:bCs/>
            <w:color w:val="0000FF"/>
            <w:sz w:val="24"/>
            <w:szCs w:val="24"/>
            <w:u w:val="single"/>
            <w:lang w:eastAsia="hu-HU"/>
          </w:rPr>
          <w:t>A</w:t>
        </w:r>
        <w:proofErr w:type="gramEnd"/>
        <w:r w:rsidR="006A13D8" w:rsidRPr="006A13D8">
          <w:rPr>
            <w:rFonts w:ascii="Times New Roman" w:eastAsia="Times New Roman" w:hAnsi="Times New Roman" w:cs="Times New Roman"/>
            <w:b/>
            <w:bCs/>
            <w:color w:val="0000FF"/>
            <w:sz w:val="24"/>
            <w:szCs w:val="24"/>
            <w:u w:val="single"/>
            <w:lang w:eastAsia="hu-HU"/>
          </w:rPr>
          <w:t xml:space="preserve"> keresés eredménye</w:t>
        </w:r>
      </w:hyperlink>
      <w:r w:rsidR="006A13D8" w:rsidRPr="006A13D8">
        <w:rPr>
          <w:rFonts w:ascii="Times New Roman" w:eastAsia="Times New Roman" w:hAnsi="Times New Roman" w:cs="Times New Roman"/>
          <w:b/>
          <w:bCs/>
          <w:sz w:val="24"/>
          <w:szCs w:val="24"/>
          <w:lang w:eastAsia="hu-HU"/>
        </w:rPr>
        <w:t xml:space="preserve"> &gt; Dokumentumok </w:t>
      </w:r>
    </w:p>
    <w:p w:rsidR="006A13D8" w:rsidRPr="006A13D8" w:rsidRDefault="006A13D8" w:rsidP="006A13D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color w:val="0000FF"/>
          <w:sz w:val="24"/>
          <w:szCs w:val="24"/>
          <w:lang w:eastAsia="hu-HU"/>
        </w:rPr>
        <w:drawing>
          <wp:inline distT="0" distB="0" distL="0" distR="0">
            <wp:extent cx="152400" cy="238125"/>
            <wp:effectExtent l="19050" t="0" r="0" b="0"/>
            <wp:docPr id="10" name="Kép 10" descr="http://curia.europa.eu/juris/img/arrow_left.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uria.europa.eu/juris/img/arrow_left.gif">
                      <a:hlinkClick r:id="rId18"/>
                    </pic:cNvPr>
                    <pic:cNvPicPr>
                      <a:picLocks noChangeAspect="1" noChangeArrowheads="1"/>
                    </pic:cNvPicPr>
                  </pic:nvPicPr>
                  <pic:blipFill>
                    <a:blip r:embed="rId19" cstate="print"/>
                    <a:srcRect/>
                    <a:stretch>
                      <a:fillRect/>
                    </a:stretch>
                  </pic:blipFill>
                  <pic:spPr bwMode="auto">
                    <a:xfrm>
                      <a:off x="0" y="0"/>
                      <a:ext cx="152400" cy="238125"/>
                    </a:xfrm>
                    <a:prstGeom prst="rect">
                      <a:avLst/>
                    </a:prstGeom>
                    <a:noFill/>
                    <a:ln w="9525">
                      <a:noFill/>
                      <a:miter lim="800000"/>
                      <a:headEnd/>
                      <a:tailEnd/>
                    </a:ln>
                  </pic:spPr>
                </pic:pic>
              </a:graphicData>
            </a:graphic>
          </wp:inline>
        </w:drawing>
      </w:r>
    </w:p>
    <w:p w:rsidR="006A13D8" w:rsidRPr="006A13D8" w:rsidRDefault="00C0699E" w:rsidP="006A13D8">
      <w:pPr>
        <w:spacing w:after="0" w:line="240" w:lineRule="auto"/>
        <w:rPr>
          <w:rFonts w:ascii="Times New Roman" w:eastAsia="Times New Roman" w:hAnsi="Times New Roman" w:cs="Times New Roman"/>
          <w:sz w:val="24"/>
          <w:szCs w:val="24"/>
          <w:lang w:eastAsia="hu-HU"/>
        </w:rPr>
      </w:pPr>
      <w:hyperlink r:id="rId20" w:tgtFrame="_blank" w:history="1">
        <w:r w:rsidR="006A13D8" w:rsidRPr="006A13D8">
          <w:rPr>
            <w:rFonts w:ascii="Times New Roman" w:eastAsia="Times New Roman" w:hAnsi="Times New Roman" w:cs="Times New Roman"/>
            <w:color w:val="0000FF"/>
            <w:sz w:val="24"/>
            <w:szCs w:val="24"/>
            <w:u w:val="single"/>
            <w:lang w:eastAsia="hu-HU"/>
          </w:rPr>
          <w:t>Nyomtatás indítása</w:t>
        </w:r>
      </w:hyperlink>
      <w:r w:rsidR="006A13D8" w:rsidRPr="006A13D8">
        <w:rPr>
          <w:rFonts w:ascii="Times New Roman" w:eastAsia="Times New Roman" w:hAnsi="Times New Roman" w:cs="Times New Roman"/>
          <w:sz w:val="24"/>
          <w:szCs w:val="24"/>
          <w:lang w:eastAsia="hu-HU"/>
        </w:rPr>
        <w:t xml:space="preserve"> </w:t>
      </w:r>
    </w:p>
    <w:p w:rsidR="006A13D8" w:rsidRPr="006A13D8" w:rsidRDefault="006A13D8" w:rsidP="006A13D8">
      <w:pPr>
        <w:spacing w:after="0"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xml:space="preserve">A dokumentum </w:t>
      </w:r>
      <w:proofErr w:type="gramStart"/>
      <w:r w:rsidRPr="006A13D8">
        <w:rPr>
          <w:rFonts w:ascii="Times New Roman" w:eastAsia="Times New Roman" w:hAnsi="Times New Roman" w:cs="Times New Roman"/>
          <w:sz w:val="24"/>
          <w:szCs w:val="24"/>
          <w:lang w:eastAsia="hu-HU"/>
        </w:rPr>
        <w:t>nyelve :</w:t>
      </w:r>
      <w:proofErr w:type="gramEnd"/>
      <w:r w:rsidRPr="006A13D8">
        <w:rPr>
          <w:rFonts w:ascii="Times New Roman" w:eastAsia="Times New Roman" w:hAnsi="Times New Roman" w:cs="Times New Roman"/>
          <w:sz w:val="24"/>
          <w:szCs w:val="24"/>
          <w:lang w:eastAsia="hu-HU"/>
        </w:rPr>
        <w:t xml:space="preserve"> </w:t>
      </w:r>
    </w:p>
    <w:p w:rsidR="006A13D8" w:rsidRPr="006A13D8" w:rsidRDefault="006A13D8" w:rsidP="006A13D8">
      <w:pPr>
        <w:pBdr>
          <w:bottom w:val="single" w:sz="6" w:space="1" w:color="auto"/>
        </w:pBdr>
        <w:spacing w:after="0" w:line="240" w:lineRule="auto"/>
        <w:jc w:val="center"/>
        <w:rPr>
          <w:rFonts w:ascii="Arial" w:eastAsia="Times New Roman" w:hAnsi="Arial" w:cs="Arial"/>
          <w:vanish/>
          <w:sz w:val="16"/>
          <w:szCs w:val="16"/>
          <w:lang w:eastAsia="hu-HU"/>
        </w:rPr>
      </w:pPr>
      <w:r w:rsidRPr="006A13D8">
        <w:rPr>
          <w:rFonts w:ascii="Arial" w:eastAsia="Times New Roman" w:hAnsi="Arial" w:cs="Arial"/>
          <w:vanish/>
          <w:sz w:val="16"/>
          <w:szCs w:val="16"/>
          <w:lang w:eastAsia="hu-HU"/>
        </w:rPr>
        <w:t>Az űrlap teteje</w:t>
      </w:r>
    </w:p>
    <w:p w:rsidR="006A13D8" w:rsidRPr="006A13D8" w:rsidRDefault="006A13D8" w:rsidP="006A13D8">
      <w:pPr>
        <w:spacing w:after="0"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ECLI</w:t>
      </w:r>
      <w:proofErr w:type="gramStart"/>
      <w:r w:rsidRPr="006A13D8">
        <w:rPr>
          <w:rFonts w:ascii="Times New Roman" w:eastAsia="Times New Roman" w:hAnsi="Times New Roman" w:cs="Times New Roman"/>
          <w:sz w:val="24"/>
          <w:szCs w:val="24"/>
          <w:lang w:eastAsia="hu-HU"/>
        </w:rPr>
        <w:t>:EU</w:t>
      </w:r>
      <w:proofErr w:type="gramEnd"/>
      <w:r w:rsidRPr="006A13D8">
        <w:rPr>
          <w:rFonts w:ascii="Times New Roman" w:eastAsia="Times New Roman" w:hAnsi="Times New Roman" w:cs="Times New Roman"/>
          <w:sz w:val="24"/>
          <w:szCs w:val="24"/>
          <w:lang w:eastAsia="hu-HU"/>
        </w:rPr>
        <w:t xml:space="preserve">:C:2016:842 </w:t>
      </w:r>
    </w:p>
    <w:p w:rsidR="006A13D8" w:rsidRPr="006A13D8" w:rsidRDefault="006A13D8" w:rsidP="006A13D8">
      <w:pPr>
        <w:spacing w:after="0" w:line="240" w:lineRule="auto"/>
        <w:rPr>
          <w:rFonts w:ascii="Times New Roman" w:eastAsia="Times New Roman" w:hAnsi="Times New Roman" w:cs="Times New Roman"/>
          <w:sz w:val="24"/>
          <w:szCs w:val="24"/>
          <w:lang w:eastAsia="hu-HU"/>
        </w:rPr>
      </w:pP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A BÍRÓSÁG ÍTÉLETE (harmadik tanács)</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2016. november 9.(</w:t>
      </w:r>
      <w:bookmarkStart w:id="1" w:name="Footref*"/>
      <w:r w:rsidR="00C0699E" w:rsidRPr="006A13D8">
        <w:rPr>
          <w:rFonts w:ascii="Times New Roman" w:eastAsia="Times New Roman" w:hAnsi="Times New Roman" w:cs="Times New Roman"/>
          <w:sz w:val="24"/>
          <w:szCs w:val="24"/>
          <w:lang w:eastAsia="hu-HU"/>
        </w:rPr>
        <w:fldChar w:fldCharType="begin"/>
      </w:r>
      <w:r w:rsidRPr="006A13D8">
        <w:rPr>
          <w:rFonts w:ascii="Times New Roman" w:eastAsia="Times New Roman" w:hAnsi="Times New Roman" w:cs="Times New Roman"/>
          <w:sz w:val="24"/>
          <w:szCs w:val="24"/>
          <w:lang w:eastAsia="hu-HU"/>
        </w:rPr>
        <w:instrText xml:space="preserve"> HYPERLINK "http://curia.europa.eu/juris/document/document.jsf;jsessionid=9ea7d0f130d62268c604dfa24339a3f7803d4ad823d9.e34KaxiLc3eQc40LaxqMbN4Pah8Se0?text=&amp;docid=185223&amp;pageIndex=0&amp;doclang=HU&amp;mode=req&amp;dir=&amp;occ=first&amp;part=1&amp;cid=378034" \l "Footnote*" </w:instrText>
      </w:r>
      <w:r w:rsidR="00C0699E" w:rsidRPr="006A13D8">
        <w:rPr>
          <w:rFonts w:ascii="Times New Roman" w:eastAsia="Times New Roman" w:hAnsi="Times New Roman" w:cs="Times New Roman"/>
          <w:sz w:val="24"/>
          <w:szCs w:val="24"/>
          <w:lang w:eastAsia="hu-HU"/>
        </w:rPr>
        <w:fldChar w:fldCharType="separate"/>
      </w:r>
      <w:r w:rsidRPr="006A13D8">
        <w:rPr>
          <w:rFonts w:ascii="Times New Roman" w:eastAsia="Times New Roman" w:hAnsi="Times New Roman" w:cs="Times New Roman"/>
          <w:color w:val="0000FF"/>
          <w:sz w:val="24"/>
          <w:szCs w:val="24"/>
          <w:u w:val="single"/>
          <w:lang w:eastAsia="hu-HU"/>
        </w:rPr>
        <w:t>*</w:t>
      </w:r>
      <w:r w:rsidR="00C0699E" w:rsidRPr="006A13D8">
        <w:rPr>
          <w:rFonts w:ascii="Times New Roman" w:eastAsia="Times New Roman" w:hAnsi="Times New Roman" w:cs="Times New Roman"/>
          <w:sz w:val="24"/>
          <w:szCs w:val="24"/>
          <w:lang w:eastAsia="hu-HU"/>
        </w:rPr>
        <w:fldChar w:fldCharType="end"/>
      </w:r>
      <w:bookmarkEnd w:id="1"/>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roofErr w:type="gramStart"/>
      <w:r w:rsidRPr="006A13D8">
        <w:rPr>
          <w:rFonts w:ascii="Times New Roman" w:eastAsia="Times New Roman" w:hAnsi="Times New Roman" w:cs="Times New Roman"/>
          <w:sz w:val="24"/>
          <w:szCs w:val="24"/>
          <w:lang w:eastAsia="hu-HU"/>
        </w:rPr>
        <w:t xml:space="preserve">Előzetes döntéshozatal – 2008/48/EK irányelv – Fogyasztóvédelem – Fogyasztói hitel – Az 1. cikk (3) bekezdésének m) pontja, a 10. cikk (1) és (2) bekezdése, a 22. cikk (1) bekezdése és a 23. cikk – A »nyomtatott formában« és a »más tartós adathordozón« kifejezések értelmezése – Egy másik dokumentumra hivatkozó megállapodás – A nemzeti jog értelmében vett »írásbeli forma« követelménye – A megkövetelt információknak objektív paraméterekre való hivatkozással történő megjelölése – Határozott idejű </w:t>
      </w:r>
      <w:proofErr w:type="spellStart"/>
      <w:r w:rsidRPr="006A13D8">
        <w:rPr>
          <w:rFonts w:ascii="Times New Roman" w:eastAsia="Times New Roman" w:hAnsi="Times New Roman" w:cs="Times New Roman"/>
          <w:sz w:val="24"/>
          <w:szCs w:val="24"/>
          <w:lang w:eastAsia="hu-HU"/>
        </w:rPr>
        <w:t>hitelmegállapodásban</w:t>
      </w:r>
      <w:proofErr w:type="spellEnd"/>
      <w:r w:rsidRPr="006A13D8">
        <w:rPr>
          <w:rFonts w:ascii="Times New Roman" w:eastAsia="Times New Roman" w:hAnsi="Times New Roman" w:cs="Times New Roman"/>
          <w:sz w:val="24"/>
          <w:szCs w:val="24"/>
          <w:lang w:eastAsia="hu-HU"/>
        </w:rPr>
        <w:t xml:space="preserve"> feltüntetendő tartalmi elemek – A kötelező információk hiányának következményei</w:t>
      </w:r>
      <w:proofErr w:type="gramEnd"/>
      <w:r w:rsidRPr="006A13D8">
        <w:rPr>
          <w:rFonts w:ascii="Times New Roman" w:eastAsia="Times New Roman" w:hAnsi="Times New Roman" w:cs="Times New Roman"/>
          <w:sz w:val="24"/>
          <w:szCs w:val="24"/>
          <w:lang w:eastAsia="hu-HU"/>
        </w:rPr>
        <w:t xml:space="preserve"> – Arányosság”</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A C</w:t>
      </w:r>
      <w:r w:rsidRPr="006A13D8">
        <w:rPr>
          <w:rFonts w:ascii="Times New Roman" w:eastAsia="Times New Roman" w:hAnsi="Times New Roman" w:cs="Times New Roman"/>
          <w:sz w:val="24"/>
          <w:szCs w:val="24"/>
          <w:lang w:eastAsia="hu-HU"/>
        </w:rPr>
        <w:noBreakHyphen/>
        <w:t>42/15. sz. ügyben,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az</w:t>
      </w:r>
      <w:proofErr w:type="gramEnd"/>
      <w:r w:rsidRPr="006A13D8">
        <w:rPr>
          <w:rFonts w:ascii="Times New Roman" w:eastAsia="Times New Roman" w:hAnsi="Times New Roman" w:cs="Times New Roman"/>
          <w:sz w:val="24"/>
          <w:szCs w:val="24"/>
          <w:lang w:eastAsia="hu-HU"/>
        </w:rPr>
        <w:t xml:space="preserve"> EUMSZ 267. cikk alapján benyújtott előzetes döntéshozatal iránti kérelem tárgyában, amelyet az </w:t>
      </w:r>
      <w:proofErr w:type="spellStart"/>
      <w:r w:rsidRPr="006A13D8">
        <w:rPr>
          <w:rFonts w:ascii="Times New Roman" w:eastAsia="Times New Roman" w:hAnsi="Times New Roman" w:cs="Times New Roman"/>
          <w:sz w:val="24"/>
          <w:szCs w:val="24"/>
          <w:lang w:eastAsia="hu-HU"/>
        </w:rPr>
        <w:t>Okresný</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súd</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Dunajská</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Streda</w:t>
      </w:r>
      <w:proofErr w:type="spellEnd"/>
      <w:r w:rsidRPr="006A13D8">
        <w:rPr>
          <w:rFonts w:ascii="Times New Roman" w:eastAsia="Times New Roman" w:hAnsi="Times New Roman" w:cs="Times New Roman"/>
          <w:sz w:val="24"/>
          <w:szCs w:val="24"/>
          <w:lang w:eastAsia="hu-HU"/>
        </w:rPr>
        <w:t xml:space="preserve"> (dunaszerdahelyi kerületi bíróság, Szlovákia) a Bírósághoz 2015. február 2</w:t>
      </w:r>
      <w:r w:rsidRPr="006A13D8">
        <w:rPr>
          <w:rFonts w:ascii="Times New Roman" w:eastAsia="Times New Roman" w:hAnsi="Times New Roman" w:cs="Times New Roman"/>
          <w:sz w:val="24"/>
          <w:szCs w:val="24"/>
          <w:lang w:eastAsia="hu-HU"/>
        </w:rPr>
        <w:noBreakHyphen/>
        <w:t>án érkezett, 2014. december 19</w:t>
      </w:r>
      <w:r w:rsidRPr="006A13D8">
        <w:rPr>
          <w:rFonts w:ascii="Times New Roman" w:eastAsia="Times New Roman" w:hAnsi="Times New Roman" w:cs="Times New Roman"/>
          <w:sz w:val="24"/>
          <w:szCs w:val="24"/>
          <w:lang w:eastAsia="hu-HU"/>
        </w:rPr>
        <w:noBreakHyphen/>
        <w:t>i határozatával terjesztett elő az előtte</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a</w:t>
      </w:r>
      <w:proofErr w:type="gramEnd"/>
      <w:r w:rsidRPr="006A13D8">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b/>
          <w:bCs/>
          <w:sz w:val="24"/>
          <w:szCs w:val="24"/>
          <w:lang w:eastAsia="hu-HU"/>
        </w:rPr>
        <w:t xml:space="preserve">Home Credit </w:t>
      </w:r>
      <w:proofErr w:type="spellStart"/>
      <w:r w:rsidRPr="006A13D8">
        <w:rPr>
          <w:rFonts w:ascii="Times New Roman" w:eastAsia="Times New Roman" w:hAnsi="Times New Roman" w:cs="Times New Roman"/>
          <w:b/>
          <w:bCs/>
          <w:sz w:val="24"/>
          <w:szCs w:val="24"/>
          <w:lang w:eastAsia="hu-HU"/>
        </w:rPr>
        <w:t>Slovakia</w:t>
      </w:r>
      <w:proofErr w:type="spellEnd"/>
      <w:r w:rsidRPr="006A13D8">
        <w:rPr>
          <w:rFonts w:ascii="Times New Roman" w:eastAsia="Times New Roman" w:hAnsi="Times New Roman" w:cs="Times New Roman"/>
          <w:b/>
          <w:bCs/>
          <w:sz w:val="24"/>
          <w:szCs w:val="24"/>
          <w:lang w:eastAsia="hu-HU"/>
        </w:rPr>
        <w:t xml:space="preserve"> </w:t>
      </w:r>
      <w:proofErr w:type="spellStart"/>
      <w:r w:rsidRPr="006A13D8">
        <w:rPr>
          <w:rFonts w:ascii="Times New Roman" w:eastAsia="Times New Roman" w:hAnsi="Times New Roman" w:cs="Times New Roman"/>
          <w:b/>
          <w:bCs/>
          <w:sz w:val="24"/>
          <w:szCs w:val="24"/>
          <w:lang w:eastAsia="hu-HU"/>
        </w:rPr>
        <w:t>a.s</w:t>
      </w:r>
      <w:proofErr w:type="spellEnd"/>
      <w:r w:rsidRPr="006A13D8">
        <w:rPr>
          <w:rFonts w:ascii="Times New Roman" w:eastAsia="Times New Roman" w:hAnsi="Times New Roman" w:cs="Times New Roman"/>
          <w:b/>
          <w:bCs/>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és</w:t>
      </w:r>
      <w:proofErr w:type="gramEnd"/>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b/>
          <w:bCs/>
          <w:sz w:val="24"/>
          <w:szCs w:val="24"/>
          <w:lang w:eastAsia="hu-HU"/>
        </w:rPr>
        <w:t xml:space="preserve">Klára </w:t>
      </w:r>
      <w:proofErr w:type="spellStart"/>
      <w:r w:rsidRPr="006A13D8">
        <w:rPr>
          <w:rFonts w:ascii="Times New Roman" w:eastAsia="Times New Roman" w:hAnsi="Times New Roman" w:cs="Times New Roman"/>
          <w:b/>
          <w:bCs/>
          <w:sz w:val="24"/>
          <w:szCs w:val="24"/>
          <w:lang w:eastAsia="hu-HU"/>
        </w:rPr>
        <w:t>Bíróová</w:t>
      </w:r>
      <w:proofErr w:type="spellEnd"/>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lastRenderedPageBreak/>
        <w:t>között</w:t>
      </w:r>
      <w:proofErr w:type="gramEnd"/>
      <w:r w:rsidRPr="006A13D8">
        <w:rPr>
          <w:rFonts w:ascii="Times New Roman" w:eastAsia="Times New Roman" w:hAnsi="Times New Roman" w:cs="Times New Roman"/>
          <w:sz w:val="24"/>
          <w:szCs w:val="24"/>
          <w:lang w:eastAsia="hu-HU"/>
        </w:rPr>
        <w:t xml:space="preserve"> folyamatban lévő eljárásban,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A BÍRÓSÁG (harmadik tanács),</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tagjai</w:t>
      </w:r>
      <w:proofErr w:type="gramEnd"/>
      <w:r w:rsidRPr="006A13D8">
        <w:rPr>
          <w:rFonts w:ascii="Times New Roman" w:eastAsia="Times New Roman" w:hAnsi="Times New Roman" w:cs="Times New Roman"/>
          <w:sz w:val="24"/>
          <w:szCs w:val="24"/>
          <w:lang w:eastAsia="hu-HU"/>
        </w:rPr>
        <w:t>: L. </w:t>
      </w:r>
      <w:proofErr w:type="spellStart"/>
      <w:r w:rsidRPr="006A13D8">
        <w:rPr>
          <w:rFonts w:ascii="Times New Roman" w:eastAsia="Times New Roman" w:hAnsi="Times New Roman" w:cs="Times New Roman"/>
          <w:sz w:val="24"/>
          <w:szCs w:val="24"/>
          <w:lang w:eastAsia="hu-HU"/>
        </w:rPr>
        <w:t>Bay</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Larsen</w:t>
      </w:r>
      <w:proofErr w:type="spellEnd"/>
      <w:r w:rsidRPr="006A13D8">
        <w:rPr>
          <w:rFonts w:ascii="Times New Roman" w:eastAsia="Times New Roman" w:hAnsi="Times New Roman" w:cs="Times New Roman"/>
          <w:sz w:val="24"/>
          <w:szCs w:val="24"/>
          <w:lang w:eastAsia="hu-HU"/>
        </w:rPr>
        <w:t xml:space="preserve"> tanácselnök, M. </w:t>
      </w:r>
      <w:proofErr w:type="spellStart"/>
      <w:r w:rsidRPr="006A13D8">
        <w:rPr>
          <w:rFonts w:ascii="Times New Roman" w:eastAsia="Times New Roman" w:hAnsi="Times New Roman" w:cs="Times New Roman"/>
          <w:sz w:val="24"/>
          <w:szCs w:val="24"/>
          <w:lang w:eastAsia="hu-HU"/>
        </w:rPr>
        <w:t>Vilaras</w:t>
      </w:r>
      <w:proofErr w:type="spellEnd"/>
      <w:r w:rsidRPr="006A13D8">
        <w:rPr>
          <w:rFonts w:ascii="Times New Roman" w:eastAsia="Times New Roman" w:hAnsi="Times New Roman" w:cs="Times New Roman"/>
          <w:sz w:val="24"/>
          <w:szCs w:val="24"/>
          <w:lang w:eastAsia="hu-HU"/>
        </w:rPr>
        <w:t>, J. </w:t>
      </w:r>
      <w:proofErr w:type="spellStart"/>
      <w:r w:rsidRPr="006A13D8">
        <w:rPr>
          <w:rFonts w:ascii="Times New Roman" w:eastAsia="Times New Roman" w:hAnsi="Times New Roman" w:cs="Times New Roman"/>
          <w:sz w:val="24"/>
          <w:szCs w:val="24"/>
          <w:lang w:eastAsia="hu-HU"/>
        </w:rPr>
        <w:t>Malenovský</w:t>
      </w:r>
      <w:proofErr w:type="spellEnd"/>
      <w:r w:rsidRPr="006A13D8">
        <w:rPr>
          <w:rFonts w:ascii="Times New Roman" w:eastAsia="Times New Roman" w:hAnsi="Times New Roman" w:cs="Times New Roman"/>
          <w:sz w:val="24"/>
          <w:szCs w:val="24"/>
          <w:lang w:eastAsia="hu-HU"/>
        </w:rPr>
        <w:t>, M. </w:t>
      </w:r>
      <w:proofErr w:type="spellStart"/>
      <w:r w:rsidRPr="006A13D8">
        <w:rPr>
          <w:rFonts w:ascii="Times New Roman" w:eastAsia="Times New Roman" w:hAnsi="Times New Roman" w:cs="Times New Roman"/>
          <w:sz w:val="24"/>
          <w:szCs w:val="24"/>
          <w:lang w:eastAsia="hu-HU"/>
        </w:rPr>
        <w:t>Safjan</w:t>
      </w:r>
      <w:proofErr w:type="spellEnd"/>
      <w:r w:rsidRPr="006A13D8">
        <w:rPr>
          <w:rFonts w:ascii="Times New Roman" w:eastAsia="Times New Roman" w:hAnsi="Times New Roman" w:cs="Times New Roman"/>
          <w:sz w:val="24"/>
          <w:szCs w:val="24"/>
          <w:lang w:eastAsia="hu-HU"/>
        </w:rPr>
        <w:t xml:space="preserve"> (előadó) és D. </w:t>
      </w:r>
      <w:proofErr w:type="spellStart"/>
      <w:r w:rsidRPr="006A13D8">
        <w:rPr>
          <w:rFonts w:ascii="Times New Roman" w:eastAsia="Times New Roman" w:hAnsi="Times New Roman" w:cs="Times New Roman"/>
          <w:sz w:val="24"/>
          <w:szCs w:val="24"/>
          <w:lang w:eastAsia="hu-HU"/>
        </w:rPr>
        <w:t>Šváby</w:t>
      </w:r>
      <w:proofErr w:type="spellEnd"/>
      <w:r w:rsidRPr="006A13D8">
        <w:rPr>
          <w:rFonts w:ascii="Times New Roman" w:eastAsia="Times New Roman" w:hAnsi="Times New Roman" w:cs="Times New Roman"/>
          <w:sz w:val="24"/>
          <w:szCs w:val="24"/>
          <w:lang w:eastAsia="hu-HU"/>
        </w:rPr>
        <w:t xml:space="preserve"> bírák,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főtanácsnok</w:t>
      </w:r>
      <w:proofErr w:type="gramEnd"/>
      <w:r w:rsidRPr="006A13D8">
        <w:rPr>
          <w:rFonts w:ascii="Times New Roman" w:eastAsia="Times New Roman" w:hAnsi="Times New Roman" w:cs="Times New Roman"/>
          <w:sz w:val="24"/>
          <w:szCs w:val="24"/>
          <w:lang w:eastAsia="hu-HU"/>
        </w:rPr>
        <w:t>: E. </w:t>
      </w:r>
      <w:proofErr w:type="spellStart"/>
      <w:r w:rsidRPr="006A13D8">
        <w:rPr>
          <w:rFonts w:ascii="Times New Roman" w:eastAsia="Times New Roman" w:hAnsi="Times New Roman" w:cs="Times New Roman"/>
          <w:sz w:val="24"/>
          <w:szCs w:val="24"/>
          <w:lang w:eastAsia="hu-HU"/>
        </w:rPr>
        <w:t>Sharpston</w:t>
      </w:r>
      <w:proofErr w:type="spellEnd"/>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hivatalvezető</w:t>
      </w:r>
      <w:proofErr w:type="gramEnd"/>
      <w:r w:rsidRPr="006A13D8">
        <w:rPr>
          <w:rFonts w:ascii="Times New Roman" w:eastAsia="Times New Roman" w:hAnsi="Times New Roman" w:cs="Times New Roman"/>
          <w:sz w:val="24"/>
          <w:szCs w:val="24"/>
          <w:lang w:eastAsia="hu-HU"/>
        </w:rPr>
        <w:t>: M. </w:t>
      </w:r>
      <w:proofErr w:type="spellStart"/>
      <w:r w:rsidRPr="006A13D8">
        <w:rPr>
          <w:rFonts w:ascii="Times New Roman" w:eastAsia="Times New Roman" w:hAnsi="Times New Roman" w:cs="Times New Roman"/>
          <w:sz w:val="24"/>
          <w:szCs w:val="24"/>
          <w:lang w:eastAsia="hu-HU"/>
        </w:rPr>
        <w:t>Aleksejev</w:t>
      </w:r>
      <w:proofErr w:type="spellEnd"/>
      <w:r w:rsidRPr="006A13D8">
        <w:rPr>
          <w:rFonts w:ascii="Times New Roman" w:eastAsia="Times New Roman" w:hAnsi="Times New Roman" w:cs="Times New Roman"/>
          <w:sz w:val="24"/>
          <w:szCs w:val="24"/>
          <w:lang w:eastAsia="hu-HU"/>
        </w:rPr>
        <w:t xml:space="preserve"> tanácsos,</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tekintettel</w:t>
      </w:r>
      <w:proofErr w:type="gramEnd"/>
      <w:r w:rsidRPr="006A13D8">
        <w:rPr>
          <w:rFonts w:ascii="Times New Roman" w:eastAsia="Times New Roman" w:hAnsi="Times New Roman" w:cs="Times New Roman"/>
          <w:sz w:val="24"/>
          <w:szCs w:val="24"/>
          <w:lang w:eastAsia="hu-HU"/>
        </w:rPr>
        <w:t xml:space="preserve"> az írásbeli szakaszra és a 2016. február 24</w:t>
      </w:r>
      <w:r w:rsidRPr="006A13D8">
        <w:rPr>
          <w:rFonts w:ascii="Times New Roman" w:eastAsia="Times New Roman" w:hAnsi="Times New Roman" w:cs="Times New Roman"/>
          <w:sz w:val="24"/>
          <w:szCs w:val="24"/>
          <w:lang w:eastAsia="hu-HU"/>
        </w:rPr>
        <w:noBreakHyphen/>
        <w:t>i tárgyalásra,</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figyelembe</w:t>
      </w:r>
      <w:proofErr w:type="gramEnd"/>
      <w:r w:rsidRPr="006A13D8">
        <w:rPr>
          <w:rFonts w:ascii="Times New Roman" w:eastAsia="Times New Roman" w:hAnsi="Times New Roman" w:cs="Times New Roman"/>
          <w:sz w:val="24"/>
          <w:szCs w:val="24"/>
          <w:lang w:eastAsia="hu-HU"/>
        </w:rPr>
        <w:t xml:space="preserve"> véve a következők által előterjesztett észrevételeket: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a szlovák kormány képviseletében B. </w:t>
      </w:r>
      <w:proofErr w:type="spellStart"/>
      <w:r w:rsidRPr="006A13D8">
        <w:rPr>
          <w:rFonts w:ascii="Times New Roman" w:eastAsia="Times New Roman" w:hAnsi="Times New Roman" w:cs="Times New Roman"/>
          <w:sz w:val="24"/>
          <w:szCs w:val="24"/>
          <w:lang w:eastAsia="hu-HU"/>
        </w:rPr>
        <w:t>Ricziová</w:t>
      </w:r>
      <w:proofErr w:type="spellEnd"/>
      <w:r w:rsidRPr="006A13D8">
        <w:rPr>
          <w:rFonts w:ascii="Times New Roman" w:eastAsia="Times New Roman" w:hAnsi="Times New Roman" w:cs="Times New Roman"/>
          <w:sz w:val="24"/>
          <w:szCs w:val="24"/>
          <w:lang w:eastAsia="hu-HU"/>
        </w:rPr>
        <w:t>, meghatalmazotti minőségben,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a német kormány képviseletében T. </w:t>
      </w:r>
      <w:proofErr w:type="spellStart"/>
      <w:r w:rsidRPr="006A13D8">
        <w:rPr>
          <w:rFonts w:ascii="Times New Roman" w:eastAsia="Times New Roman" w:hAnsi="Times New Roman" w:cs="Times New Roman"/>
          <w:sz w:val="24"/>
          <w:szCs w:val="24"/>
          <w:lang w:eastAsia="hu-HU"/>
        </w:rPr>
        <w:t>Henze</w:t>
      </w:r>
      <w:proofErr w:type="spellEnd"/>
      <w:r w:rsidRPr="006A13D8">
        <w:rPr>
          <w:rFonts w:ascii="Times New Roman" w:eastAsia="Times New Roman" w:hAnsi="Times New Roman" w:cs="Times New Roman"/>
          <w:sz w:val="24"/>
          <w:szCs w:val="24"/>
          <w:lang w:eastAsia="hu-HU"/>
        </w:rPr>
        <w:t xml:space="preserve"> és J. </w:t>
      </w:r>
      <w:proofErr w:type="spellStart"/>
      <w:r w:rsidRPr="006A13D8">
        <w:rPr>
          <w:rFonts w:ascii="Times New Roman" w:eastAsia="Times New Roman" w:hAnsi="Times New Roman" w:cs="Times New Roman"/>
          <w:sz w:val="24"/>
          <w:szCs w:val="24"/>
          <w:lang w:eastAsia="hu-HU"/>
        </w:rPr>
        <w:t>Kemper</w:t>
      </w:r>
      <w:proofErr w:type="spellEnd"/>
      <w:r w:rsidRPr="006A13D8">
        <w:rPr>
          <w:rFonts w:ascii="Times New Roman" w:eastAsia="Times New Roman" w:hAnsi="Times New Roman" w:cs="Times New Roman"/>
          <w:sz w:val="24"/>
          <w:szCs w:val="24"/>
          <w:lang w:eastAsia="hu-HU"/>
        </w:rPr>
        <w:t>, meghatalmazotti minőségben,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az Európai Bizottság képviseletében G. </w:t>
      </w:r>
      <w:proofErr w:type="spellStart"/>
      <w:r w:rsidRPr="006A13D8">
        <w:rPr>
          <w:rFonts w:ascii="Times New Roman" w:eastAsia="Times New Roman" w:hAnsi="Times New Roman" w:cs="Times New Roman"/>
          <w:sz w:val="24"/>
          <w:szCs w:val="24"/>
          <w:lang w:eastAsia="hu-HU"/>
        </w:rPr>
        <w:t>Goddin</w:t>
      </w:r>
      <w:proofErr w:type="spellEnd"/>
      <w:r w:rsidRPr="006A13D8">
        <w:rPr>
          <w:rFonts w:ascii="Times New Roman" w:eastAsia="Times New Roman" w:hAnsi="Times New Roman" w:cs="Times New Roman"/>
          <w:sz w:val="24"/>
          <w:szCs w:val="24"/>
          <w:lang w:eastAsia="hu-HU"/>
        </w:rPr>
        <w:t xml:space="preserve"> és </w:t>
      </w:r>
      <w:proofErr w:type="gramStart"/>
      <w:r w:rsidRPr="006A13D8">
        <w:rPr>
          <w:rFonts w:ascii="Times New Roman" w:eastAsia="Times New Roman" w:hAnsi="Times New Roman" w:cs="Times New Roman"/>
          <w:sz w:val="24"/>
          <w:szCs w:val="24"/>
          <w:lang w:eastAsia="hu-HU"/>
        </w:rPr>
        <w:t>A</w:t>
      </w:r>
      <w:proofErr w:type="gramEnd"/>
      <w:r w:rsidRPr="006A13D8">
        <w:rPr>
          <w:rFonts w:ascii="Times New Roman" w:eastAsia="Times New Roman" w:hAnsi="Times New Roman" w:cs="Times New Roman"/>
          <w:sz w:val="24"/>
          <w:szCs w:val="24"/>
          <w:lang w:eastAsia="hu-HU"/>
        </w:rPr>
        <w:t>. Tokár, meghatalmazotti minőségben,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a</w:t>
      </w:r>
      <w:proofErr w:type="gramEnd"/>
      <w:r w:rsidRPr="006A13D8">
        <w:rPr>
          <w:rFonts w:ascii="Times New Roman" w:eastAsia="Times New Roman" w:hAnsi="Times New Roman" w:cs="Times New Roman"/>
          <w:sz w:val="24"/>
          <w:szCs w:val="24"/>
          <w:lang w:eastAsia="hu-HU"/>
        </w:rPr>
        <w:t xml:space="preserve"> főtanácsnok indítványának a 2016. június 9</w:t>
      </w:r>
      <w:r w:rsidRPr="006A13D8">
        <w:rPr>
          <w:rFonts w:ascii="Times New Roman" w:eastAsia="Times New Roman" w:hAnsi="Times New Roman" w:cs="Times New Roman"/>
          <w:sz w:val="24"/>
          <w:szCs w:val="24"/>
          <w:lang w:eastAsia="hu-HU"/>
        </w:rPr>
        <w:noBreakHyphen/>
        <w:t>i tárgyaláson történt meghallgatását követően,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meghozta</w:t>
      </w:r>
      <w:proofErr w:type="gramEnd"/>
      <w:r w:rsidRPr="006A13D8">
        <w:rPr>
          <w:rFonts w:ascii="Times New Roman" w:eastAsia="Times New Roman" w:hAnsi="Times New Roman" w:cs="Times New Roman"/>
          <w:sz w:val="24"/>
          <w:szCs w:val="24"/>
          <w:lang w:eastAsia="hu-HU"/>
        </w:rPr>
        <w:t xml:space="preserve"> a következő</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b/>
          <w:bCs/>
          <w:sz w:val="24"/>
          <w:szCs w:val="24"/>
          <w:lang w:eastAsia="hu-HU"/>
        </w:rPr>
        <w:t>Ítéletet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2" w:name="point1"/>
      <w:r w:rsidRPr="006A13D8">
        <w:rPr>
          <w:rFonts w:ascii="Times New Roman" w:eastAsia="Times New Roman" w:hAnsi="Times New Roman" w:cs="Times New Roman"/>
          <w:sz w:val="24"/>
          <w:szCs w:val="24"/>
          <w:lang w:eastAsia="hu-HU"/>
        </w:rPr>
        <w:t>1</w:t>
      </w:r>
      <w:bookmarkEnd w:id="2"/>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 xml:space="preserve">Az előzetes döntéshozatal iránti kérelem a fogyasztói </w:t>
      </w:r>
      <w:proofErr w:type="spellStart"/>
      <w:r w:rsidRPr="006A13D8">
        <w:rPr>
          <w:rFonts w:ascii="Times New Roman" w:eastAsia="Times New Roman" w:hAnsi="Times New Roman" w:cs="Times New Roman"/>
          <w:sz w:val="24"/>
          <w:szCs w:val="24"/>
          <w:lang w:eastAsia="hu-HU"/>
        </w:rPr>
        <w:t>hitelmegállapodásokról</w:t>
      </w:r>
      <w:proofErr w:type="spellEnd"/>
      <w:r w:rsidRPr="006A13D8">
        <w:rPr>
          <w:rFonts w:ascii="Times New Roman" w:eastAsia="Times New Roman" w:hAnsi="Times New Roman" w:cs="Times New Roman"/>
          <w:sz w:val="24"/>
          <w:szCs w:val="24"/>
          <w:lang w:eastAsia="hu-HU"/>
        </w:rPr>
        <w:t xml:space="preserve"> és a 87/102/EGK tanácsi irányelv hatályon kívül helyezéséről szóló, 2008. április 23</w:t>
      </w:r>
      <w:r w:rsidRPr="006A13D8">
        <w:rPr>
          <w:rFonts w:ascii="Times New Roman" w:eastAsia="Times New Roman" w:hAnsi="Times New Roman" w:cs="Times New Roman"/>
          <w:sz w:val="24"/>
          <w:szCs w:val="24"/>
          <w:lang w:eastAsia="hu-HU"/>
        </w:rPr>
        <w:noBreakHyphen/>
        <w:t>i 2008/48/EK európai parlamenti és tanácsi irányelv (HL 2008. L 133., 66. o.; helyesbítések: HL 2009. L 207., 14. o.; HL 2010. L 199., 40. o.; HL 2011. L 234., 46. o.)</w:t>
      </w:r>
      <w:proofErr w:type="gramEnd"/>
      <w:r w:rsidRPr="006A13D8">
        <w:rPr>
          <w:rFonts w:ascii="Times New Roman" w:eastAsia="Times New Roman" w:hAnsi="Times New Roman" w:cs="Times New Roman"/>
          <w:sz w:val="24"/>
          <w:szCs w:val="24"/>
          <w:lang w:eastAsia="hu-HU"/>
        </w:rPr>
        <w:t xml:space="preserve"> 1. cikke (3) bekezdése m) pontjának, 10. cikke (1) és (2) bekezdésének, 22. cikke (1) bekezdésének és 23. cikkének értelmezésére irányul.</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3" w:name="point2"/>
      <w:r w:rsidRPr="006A13D8">
        <w:rPr>
          <w:rFonts w:ascii="Times New Roman" w:eastAsia="Times New Roman" w:hAnsi="Times New Roman" w:cs="Times New Roman"/>
          <w:sz w:val="24"/>
          <w:szCs w:val="24"/>
          <w:lang w:eastAsia="hu-HU"/>
        </w:rPr>
        <w:t>2</w:t>
      </w:r>
      <w:bookmarkEnd w:id="3"/>
      <w:r w:rsidRPr="006A13D8">
        <w:rPr>
          <w:rFonts w:ascii="Times New Roman" w:eastAsia="Times New Roman" w:hAnsi="Times New Roman" w:cs="Times New Roman"/>
          <w:sz w:val="24"/>
          <w:szCs w:val="24"/>
          <w:lang w:eastAsia="hu-HU"/>
        </w:rPr>
        <w:t xml:space="preserve">        Ezt a kérelmet a Home Credit </w:t>
      </w:r>
      <w:proofErr w:type="spellStart"/>
      <w:r w:rsidRPr="006A13D8">
        <w:rPr>
          <w:rFonts w:ascii="Times New Roman" w:eastAsia="Times New Roman" w:hAnsi="Times New Roman" w:cs="Times New Roman"/>
          <w:sz w:val="24"/>
          <w:szCs w:val="24"/>
          <w:lang w:eastAsia="hu-HU"/>
        </w:rPr>
        <w:t>Slovakia</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a.s</w:t>
      </w:r>
      <w:proofErr w:type="spellEnd"/>
      <w:r w:rsidRPr="006A13D8">
        <w:rPr>
          <w:rFonts w:ascii="Times New Roman" w:eastAsia="Times New Roman" w:hAnsi="Times New Roman" w:cs="Times New Roman"/>
          <w:sz w:val="24"/>
          <w:szCs w:val="24"/>
          <w:lang w:eastAsia="hu-HU"/>
        </w:rPr>
        <w:t xml:space="preserve">. és Klára </w:t>
      </w:r>
      <w:proofErr w:type="spellStart"/>
      <w:r w:rsidRPr="006A13D8">
        <w:rPr>
          <w:rFonts w:ascii="Times New Roman" w:eastAsia="Times New Roman" w:hAnsi="Times New Roman" w:cs="Times New Roman"/>
          <w:sz w:val="24"/>
          <w:szCs w:val="24"/>
          <w:lang w:eastAsia="hu-HU"/>
        </w:rPr>
        <w:t>Bíróová</w:t>
      </w:r>
      <w:proofErr w:type="spellEnd"/>
      <w:r w:rsidRPr="006A13D8">
        <w:rPr>
          <w:rFonts w:ascii="Times New Roman" w:eastAsia="Times New Roman" w:hAnsi="Times New Roman" w:cs="Times New Roman"/>
          <w:sz w:val="24"/>
          <w:szCs w:val="24"/>
          <w:lang w:eastAsia="hu-HU"/>
        </w:rPr>
        <w:t xml:space="preserve"> között az e társaság által ez utóbbi személy részére nyújtott azon hitel fennmaradó összegének megfizetése iránti kérelem </w:t>
      </w:r>
      <w:proofErr w:type="gramStart"/>
      <w:r w:rsidRPr="006A13D8">
        <w:rPr>
          <w:rFonts w:ascii="Times New Roman" w:eastAsia="Times New Roman" w:hAnsi="Times New Roman" w:cs="Times New Roman"/>
          <w:sz w:val="24"/>
          <w:szCs w:val="24"/>
          <w:lang w:eastAsia="hu-HU"/>
        </w:rPr>
        <w:t>tárgyában folyamatban</w:t>
      </w:r>
      <w:proofErr w:type="gramEnd"/>
      <w:r w:rsidRPr="006A13D8">
        <w:rPr>
          <w:rFonts w:ascii="Times New Roman" w:eastAsia="Times New Roman" w:hAnsi="Times New Roman" w:cs="Times New Roman"/>
          <w:sz w:val="24"/>
          <w:szCs w:val="24"/>
          <w:lang w:eastAsia="hu-HU"/>
        </w:rPr>
        <w:t xml:space="preserve"> lévő jogvita keretében terjesztették elő, amelyet ez utóbbi személy nem fizetett meg.</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b/>
          <w:bCs/>
          <w:sz w:val="24"/>
          <w:szCs w:val="24"/>
          <w:lang w:eastAsia="hu-HU"/>
        </w:rPr>
        <w:t>Jogi háttér</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i/>
          <w:iCs/>
          <w:sz w:val="24"/>
          <w:szCs w:val="24"/>
          <w:lang w:eastAsia="hu-HU"/>
        </w:rPr>
        <w:t>Az uniós jog</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4" w:name="point3"/>
      <w:r w:rsidRPr="006A13D8">
        <w:rPr>
          <w:rFonts w:ascii="Times New Roman" w:eastAsia="Times New Roman" w:hAnsi="Times New Roman" w:cs="Times New Roman"/>
          <w:sz w:val="24"/>
          <w:szCs w:val="24"/>
          <w:lang w:eastAsia="hu-HU"/>
        </w:rPr>
        <w:t>3</w:t>
      </w:r>
      <w:bookmarkEnd w:id="4"/>
      <w:r w:rsidRPr="006A13D8">
        <w:rPr>
          <w:rFonts w:ascii="Times New Roman" w:eastAsia="Times New Roman" w:hAnsi="Times New Roman" w:cs="Times New Roman"/>
          <w:sz w:val="24"/>
          <w:szCs w:val="24"/>
          <w:lang w:eastAsia="hu-HU"/>
        </w:rPr>
        <w:t>        A 2008/48 irányelv (7), (9), (10), (19), (30), (31) és (47) </w:t>
      </w:r>
      <w:proofErr w:type="spellStart"/>
      <w:r w:rsidRPr="006A13D8">
        <w:rPr>
          <w:rFonts w:ascii="Times New Roman" w:eastAsia="Times New Roman" w:hAnsi="Times New Roman" w:cs="Times New Roman"/>
          <w:sz w:val="24"/>
          <w:szCs w:val="24"/>
          <w:lang w:eastAsia="hu-HU"/>
        </w:rPr>
        <w:t>preambulumbekezdése</w:t>
      </w:r>
      <w:proofErr w:type="spellEnd"/>
      <w:r w:rsidRPr="006A13D8">
        <w:rPr>
          <w:rFonts w:ascii="Times New Roman" w:eastAsia="Times New Roman" w:hAnsi="Times New Roman" w:cs="Times New Roman"/>
          <w:sz w:val="24"/>
          <w:szCs w:val="24"/>
          <w:lang w:eastAsia="hu-HU"/>
        </w:rPr>
        <w:t xml:space="preserve"> a következőket mondja ki:</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„(7)      Annak érdekében, hogy a fogyasztói hitelek jól működő belső piacának kialakulását megkönnyítsék, számos kulcsfontosságú területen harmonizált közösségi keretről szükséges rendelkezni. […]</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lastRenderedPageBreak/>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(9)      Teljes harmonizációra van szükség annak biztosítására, hogy a Közösségben valamennyi fogyasztó érdekeit magas szinten és egyenlő módon védelmezzék, illetve, hogy valódi belső piacot lehessen létrehozni. Ezért a tagállamok nem tarthatnak fenn vagy vezethetnek be olyan nemzeti rendelkezéseket, amelyek eltérnek az ezen irányelvben meghatározottaktól. Ilyen korlátozás azonban csak olyan esetben alkalmazandó, amikor harmonizált rendelkezések szerepelnek ebben az irányelvben. Ilyen harmonizált rendelkezések hiányában a tagállamok szabadon tarthatnak fenn vagy vezethetnek be nemzeti jogszabályokat. […]</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(10)      Az ezen irányelvben szereplő meghatározások kijelölik a harmonizáció alkalmazási körét. A tagállamoknak az irányelv rendelkezései végrehajtására vonatkozó kötelezettségét éppen ezért az irányelvnek az e meghatározások által kijelölt alkalmazási körére kell korlátozni. […]</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(19)      Annak érdekében, hogy a fogyasztók a tények teljes ismeretében hozhassanak döntést,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megkötését megelőzően megfelelő tájékoztatást kell kapniuk a hitel feltételeiről, költségeiről és kötelezettségeikről olyan tájékoztató formájában, amelyet a fogyasztók magukkal vihetnek és tanulmányozhatnak. […]</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(30)      Ezen irányelv nem szabályozza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 érvényességével kapcsolatos szerződésjogi kérdéseket. Ezért a tagállamok e területen fenntarthatnak vagy bevezethetnek a közösségi joggal összhangban lévő nemzeti rendelkezéseket. A tagállamok megállapíthatnak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megkötésére irányuló ajánlatra vonatkozó jogszabályokat, különösen az ajánlattétel időpontjára, valamint arra az időszakra vonatkozóan, amely során az ajánlat a hitelezőre nézve kötelező erejű. Amennyiben az ajánlattételre az ezen irányelv által előírt, a szerződéskötést megelőző tájékoztatással egy időben kerül sor, azt, mint bármely egyéb kiegészítő információt, amelyet a hitelező a fogyasztónak meg kíván adni, külön dokumentumban kell biztosítani, amely az általános európai fogyasztói hiteltájékoztatóhoz csatolható.</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(31)      Annak érdekében, hogy a fogyasztók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szerinti jogaikat és kötelezettségeiket megismerhessék,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megállapodásnak világosan és tömören tartalmaznia kell valamennyi szükséges információt.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xml:space="preserve">(47)      A tagállamoknak meg kell állapítaniuk az ezen irányelv alapján elfogadott nemzeti rendelkezések megsértése esetén alkalmazandó szankciókra vonatkozó szabályokat, és biztosítaniuk kell végrehajtásukat. Bár e szankciók megválasztása a tagállamok hatáskörében marad, </w:t>
      </w:r>
      <w:proofErr w:type="gramStart"/>
      <w:r w:rsidRPr="006A13D8">
        <w:rPr>
          <w:rFonts w:ascii="Times New Roman" w:eastAsia="Times New Roman" w:hAnsi="Times New Roman" w:cs="Times New Roman"/>
          <w:sz w:val="24"/>
          <w:szCs w:val="24"/>
          <w:lang w:eastAsia="hu-HU"/>
        </w:rPr>
        <w:t>azoknak</w:t>
      </w:r>
      <w:proofErr w:type="gramEnd"/>
      <w:r w:rsidRPr="006A13D8">
        <w:rPr>
          <w:rFonts w:ascii="Times New Roman" w:eastAsia="Times New Roman" w:hAnsi="Times New Roman" w:cs="Times New Roman"/>
          <w:sz w:val="24"/>
          <w:szCs w:val="24"/>
          <w:lang w:eastAsia="hu-HU"/>
        </w:rPr>
        <w:t xml:space="preserve"> hatékonyaknak, arányosaknak és visszatartó erejűeknek kell lenniük.”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5" w:name="point4"/>
      <w:r w:rsidRPr="006A13D8">
        <w:rPr>
          <w:rFonts w:ascii="Times New Roman" w:eastAsia="Times New Roman" w:hAnsi="Times New Roman" w:cs="Times New Roman"/>
          <w:sz w:val="24"/>
          <w:szCs w:val="24"/>
          <w:lang w:eastAsia="hu-HU"/>
        </w:rPr>
        <w:t>4</w:t>
      </w:r>
      <w:bookmarkEnd w:id="5"/>
      <w:r w:rsidRPr="006A13D8">
        <w:rPr>
          <w:rFonts w:ascii="Times New Roman" w:eastAsia="Times New Roman" w:hAnsi="Times New Roman" w:cs="Times New Roman"/>
          <w:sz w:val="24"/>
          <w:szCs w:val="24"/>
          <w:lang w:eastAsia="hu-HU"/>
        </w:rPr>
        <w:t>        Ezen irányelv „Cél” című 1. cikke értelmében: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lastRenderedPageBreak/>
        <w:t>„Ezen irányelv célja a tagállamok fogyasztóknak nyújtott hitelekkel kapcsolatos megállapodásokra vonatkozó törvényei, rendeletei és közigazgatási eljárásai [helyesen: törvényi, rendeleti és közigazgatási rendelkezései] egyes aspektusainak összehangolása.”</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6" w:name="point5"/>
      <w:r w:rsidRPr="006A13D8">
        <w:rPr>
          <w:rFonts w:ascii="Times New Roman" w:eastAsia="Times New Roman" w:hAnsi="Times New Roman" w:cs="Times New Roman"/>
          <w:sz w:val="24"/>
          <w:szCs w:val="24"/>
          <w:lang w:eastAsia="hu-HU"/>
        </w:rPr>
        <w:t>5</w:t>
      </w:r>
      <w:bookmarkEnd w:id="6"/>
      <w:r w:rsidRPr="006A13D8">
        <w:rPr>
          <w:rFonts w:ascii="Times New Roman" w:eastAsia="Times New Roman" w:hAnsi="Times New Roman" w:cs="Times New Roman"/>
          <w:sz w:val="24"/>
          <w:szCs w:val="24"/>
          <w:lang w:eastAsia="hu-HU"/>
        </w:rPr>
        <w:t>        Az említett irányelv „Fogalom</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meghatározások” című 3. cikke m) pontjában a következőket mondja ki:</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„Ezen irányelv alkalmazásában a következő fogalom</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meghatározások alkalmazandók: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m</w:t>
      </w:r>
      <w:proofErr w:type="gramEnd"/>
      <w:r w:rsidRPr="006A13D8">
        <w:rPr>
          <w:rFonts w:ascii="Times New Roman" w:eastAsia="Times New Roman" w:hAnsi="Times New Roman" w:cs="Times New Roman"/>
          <w:sz w:val="24"/>
          <w:szCs w:val="24"/>
          <w:lang w:eastAsia="hu-HU"/>
        </w:rPr>
        <w:t>)      »tartós adathordozó«: olyan eszköz, amely lehetővé teszi a fogyasztó számára a személyesen neki címzett adatoknak a jövőben is hozzáférhető módon és az adat céljának megfelelő ideig történő tárolását, valamint a tárolt adatok változatlan formában történő megjelenítését”.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7" w:name="point6"/>
      <w:r w:rsidRPr="006A13D8">
        <w:rPr>
          <w:rFonts w:ascii="Times New Roman" w:eastAsia="Times New Roman" w:hAnsi="Times New Roman" w:cs="Times New Roman"/>
          <w:sz w:val="24"/>
          <w:szCs w:val="24"/>
          <w:lang w:eastAsia="hu-HU"/>
        </w:rPr>
        <w:t>6</w:t>
      </w:r>
      <w:bookmarkEnd w:id="7"/>
      <w:r w:rsidRPr="006A13D8">
        <w:rPr>
          <w:rFonts w:ascii="Times New Roman" w:eastAsia="Times New Roman" w:hAnsi="Times New Roman" w:cs="Times New Roman"/>
          <w:sz w:val="24"/>
          <w:szCs w:val="24"/>
          <w:lang w:eastAsia="hu-HU"/>
        </w:rPr>
        <w:t>        Ugyanezen irányelvnek „</w:t>
      </w:r>
      <w:proofErr w:type="gramStart"/>
      <w:r w:rsidRPr="006A13D8">
        <w:rPr>
          <w:rFonts w:ascii="Times New Roman" w:eastAsia="Times New Roman" w:hAnsi="Times New Roman" w:cs="Times New Roman"/>
          <w:sz w:val="24"/>
          <w:szCs w:val="24"/>
          <w:lang w:eastAsia="hu-HU"/>
        </w:rPr>
        <w:t>A</w:t>
      </w:r>
      <w:proofErr w:type="gramEnd"/>
      <w:r w:rsidRPr="006A13D8">
        <w:rPr>
          <w:rFonts w:ascii="Times New Roman" w:eastAsia="Times New Roman" w:hAnsi="Times New Roman" w:cs="Times New Roman"/>
          <w:sz w:val="24"/>
          <w:szCs w:val="24"/>
          <w:lang w:eastAsia="hu-HU"/>
        </w:rPr>
        <w:t xml:space="preserve">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megállapodásokban feltüntetendő információk” című 10. cikke a következőképpen rendelkezik: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„(1)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megállapodásokat nyomtatott formában vagy más tartós adathordozón kell elkészíteni.</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Valamennyi szerződő félnek kézhez kell kapnia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egy</w:t>
      </w:r>
      <w:r w:rsidRPr="006A13D8">
        <w:rPr>
          <w:rFonts w:ascii="Times New Roman" w:eastAsia="Times New Roman" w:hAnsi="Times New Roman" w:cs="Times New Roman"/>
          <w:sz w:val="24"/>
          <w:szCs w:val="24"/>
          <w:lang w:eastAsia="hu-HU"/>
        </w:rPr>
        <w:noBreakHyphen/>
        <w:t>egy példányát. Ez a cikk nem érinti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 megkötésének érvényességére vonatkozó, a közösségi joggal összhangban álló nemzeti rendelkezéseket.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(2)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megállapodásnak világos és egyértelmű módon tartalmaznia kell a következőket: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a</w:t>
      </w:r>
      <w:proofErr w:type="gramEnd"/>
      <w:r w:rsidRPr="006A13D8">
        <w:rPr>
          <w:rFonts w:ascii="Times New Roman" w:eastAsia="Times New Roman" w:hAnsi="Times New Roman" w:cs="Times New Roman"/>
          <w:sz w:val="24"/>
          <w:szCs w:val="24"/>
          <w:lang w:eastAsia="hu-HU"/>
        </w:rPr>
        <w:t>)      a hitel típusa;</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b)      a szerződő felek neve, postai címe és adott esetben az érintett hitelközvetítő neve és postai címe;</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c)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időtartama;</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d)      a teljes hitelösszeg és a hitel lehívására vonatkozó feltételek;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e</w:t>
      </w:r>
      <w:proofErr w:type="gramEnd"/>
      <w:r w:rsidRPr="006A13D8">
        <w:rPr>
          <w:rFonts w:ascii="Times New Roman" w:eastAsia="Times New Roman" w:hAnsi="Times New Roman" w:cs="Times New Roman"/>
          <w:sz w:val="24"/>
          <w:szCs w:val="24"/>
          <w:lang w:eastAsia="hu-HU"/>
        </w:rPr>
        <w:t>)      meghatározott áru vagy szolgáltatás vonatkozásában halasztott fizetés formájában nyújtott hitel vagy kapcsolódó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 esetén az áru vagy szolgáltatás és annak készpénzára;</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f</w:t>
      </w:r>
      <w:proofErr w:type="gramEnd"/>
      <w:r w:rsidRPr="006A13D8">
        <w:rPr>
          <w:rFonts w:ascii="Times New Roman" w:eastAsia="Times New Roman" w:hAnsi="Times New Roman" w:cs="Times New Roman"/>
          <w:sz w:val="24"/>
          <w:szCs w:val="24"/>
          <w:lang w:eastAsia="hu-HU"/>
        </w:rPr>
        <w:t>)      a hitelkamatláb, a hitelkamatláb alkalmazására vonatkozó feltételek és adott esetben bármilyen, az eredeti hitelkamatlábra alkalmazandó index</w:t>
      </w:r>
      <w:r w:rsidRPr="006A13D8">
        <w:rPr>
          <w:rFonts w:ascii="Times New Roman" w:eastAsia="Times New Roman" w:hAnsi="Times New Roman" w:cs="Times New Roman"/>
          <w:sz w:val="24"/>
          <w:szCs w:val="24"/>
          <w:lang w:eastAsia="hu-HU"/>
        </w:rPr>
        <w:noBreakHyphen/>
        <w:t xml:space="preserve"> vagy referencia</w:t>
      </w:r>
      <w:r w:rsidRPr="006A13D8">
        <w:rPr>
          <w:rFonts w:ascii="Times New Roman" w:eastAsia="Times New Roman" w:hAnsi="Times New Roman" w:cs="Times New Roman"/>
          <w:sz w:val="24"/>
          <w:szCs w:val="24"/>
          <w:lang w:eastAsia="hu-HU"/>
        </w:rPr>
        <w:noBreakHyphen/>
        <w:t>kamatláb, továbbá a hitelkamatláb változtatásával kapcsolatos időszakok, feltételek és eljárások. Ha eltérő körülmények esetén eltérő hitelkamatlábak alkalmazandók, a fent említett információk valamennyi alkalmazandó hitelkamatláb esetében;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lastRenderedPageBreak/>
        <w:t>g</w:t>
      </w:r>
      <w:proofErr w:type="gramEnd"/>
      <w:r w:rsidRPr="006A13D8">
        <w:rPr>
          <w:rFonts w:ascii="Times New Roman" w:eastAsia="Times New Roman" w:hAnsi="Times New Roman" w:cs="Times New Roman"/>
          <w:sz w:val="24"/>
          <w:szCs w:val="24"/>
          <w:lang w:eastAsia="hu-HU"/>
        </w:rPr>
        <w:t>)      a teljes</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hiteldíj</w:t>
      </w:r>
      <w:r w:rsidRPr="006A13D8">
        <w:rPr>
          <w:rFonts w:ascii="Times New Roman" w:eastAsia="Times New Roman" w:hAnsi="Times New Roman" w:cs="Times New Roman"/>
          <w:sz w:val="24"/>
          <w:szCs w:val="24"/>
          <w:lang w:eastAsia="hu-HU"/>
        </w:rPr>
        <w:noBreakHyphen/>
        <w:t>mutató és a fogyasztó által fizetendő teljes összeg,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megkötésének időpontjában kiszámítva; valamennyi, a teljes</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hiteldíj</w:t>
      </w:r>
      <w:r w:rsidRPr="006A13D8">
        <w:rPr>
          <w:rFonts w:ascii="Times New Roman" w:eastAsia="Times New Roman" w:hAnsi="Times New Roman" w:cs="Times New Roman"/>
          <w:sz w:val="24"/>
          <w:szCs w:val="24"/>
          <w:lang w:eastAsia="hu-HU"/>
        </w:rPr>
        <w:noBreakHyphen/>
        <w:t>mutató kiszámításához felhasznált feltevés megemlítésével;</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h</w:t>
      </w:r>
      <w:proofErr w:type="gramEnd"/>
      <w:r w:rsidRPr="006A13D8">
        <w:rPr>
          <w:rFonts w:ascii="Times New Roman" w:eastAsia="Times New Roman" w:hAnsi="Times New Roman" w:cs="Times New Roman"/>
          <w:sz w:val="24"/>
          <w:szCs w:val="24"/>
          <w:lang w:eastAsia="hu-HU"/>
        </w:rPr>
        <w:t>)      a fogyasztó által teljesítendő fizetések összege, száma és gyakorisága, és adott esetben az a sorrend, amelynek megfelelően a különböző fennálló, eltérő hitelkamatlábú egyenlegekbe befizetésre kerülnek a törlesztések célját szolgáló fizetések;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i)      ha egy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megállapodásra vonatkozóan határozott időtartamú tőketörlesztésről van szó, a fogyasztó joga, hogy kérésére ingyenesen,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teljes időtartama alatt számlakivonatot kapjon törlesztési táblázat formájában.</w:t>
      </w:r>
    </w:p>
    <w:p w:rsidR="006A13D8" w:rsidRPr="006A13D8" w:rsidRDefault="006A13D8" w:rsidP="00AA3FA6">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A törlesztési táblázat feltünteti a hátralevő fizetéseket, az ilyen összegek megfizetésére vonatkozó időtartamokat és feltételeket; a táblázat tartalmazza a törlesztések bontását a tőketörlesztés kimutatására, a hitelkamatláb alapján számított kamatot és adott esetben a járulékos költségeket; amennyiben a kamatláb nem rögzített, vagy a járulékos költségek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szerint változhatnak, a törlesztési táblázat világos és egyértelmű módon jelzi, hogy a táblázat adatai kizárólag a hitelkamatlábnak vagy a járulékos költségeknek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szerinti, következő változásáig érvényesek;</w:t>
      </w:r>
      <w:proofErr w:type="gramEnd"/>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j)      ha a díjakat és a kamatot tőketörlesztés nélkül kell megfizetni, kimutatás a hitelkamat fizetésének időszakairól és feltételeiről és bármely kapcsolódó rendszeres és nem rendszeres díjakról;</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k)      adott esetben a mind a fizetési ügyleteket, mind a lehívásokat rögzítő egy vagy több számla fenntartásának díjai, kivéve, ha a számlanyitás fakultatív, a fizetési ügyletek és a lehívások céljára egyaránt szolgáló fizetési eszköz használati díjai és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megállapodásból eredő bármely díj, valamint e díjak megváltoztatásának feltételei;</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l</w:t>
      </w:r>
      <w:proofErr w:type="gramEnd"/>
      <w:r w:rsidRPr="006A13D8">
        <w:rPr>
          <w:rFonts w:ascii="Times New Roman" w:eastAsia="Times New Roman" w:hAnsi="Times New Roman" w:cs="Times New Roman"/>
          <w:sz w:val="24"/>
          <w:szCs w:val="24"/>
          <w:lang w:eastAsia="hu-HU"/>
        </w:rPr>
        <w:t>)      a késedelmes fizetések esetén alkalmazandó, a megállapodás megkötése időpontjában alkalmazandó kamat és a kiigazítására vonatkozó rendelkezések, valamint adott esetben a fizetendő késedelmi díjak;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m</w:t>
      </w:r>
      <w:proofErr w:type="gramEnd"/>
      <w:r w:rsidRPr="006A13D8">
        <w:rPr>
          <w:rFonts w:ascii="Times New Roman" w:eastAsia="Times New Roman" w:hAnsi="Times New Roman" w:cs="Times New Roman"/>
          <w:sz w:val="24"/>
          <w:szCs w:val="24"/>
          <w:lang w:eastAsia="hu-HU"/>
        </w:rPr>
        <w:t>)      a fizetés elmulasztásának következményeire vonatkozó figyelmeztetés;</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n)      adott esetben nyilatkozat arról, hogy a felmerülő közjegyzői díjak megfizetendők;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o)      az előírt garanciák és biztosítás, ha van ilyen;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p)      az elállási jog megléte vagy hiánya, azon időszak, amelyen belül az elállási jog gyakorolható, valamint az elállási jog gyakorlásának egyéb feltételei, ideértve a fogyasztó azon kötelezettségére vonatkozó tájékoztatást is, hogy a 14. cikk (3) bekezdésének b) pontja értelmében a lehívott tőkeösszeget, valamint a kamatot és a napi kamatösszeget meg kell fizetnie;</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q)      a 15. cikkből eredő jogokra vonatkozó információ, valamint az e jogok gyakorlására vonatkozó feltételek;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lastRenderedPageBreak/>
        <w:t>r)      a határidő előtti visszafizetés joga, a határidő előtti visszafizetés eljárása, valamint adott esetben tájékoztatás a hitelező ellentételezési jogáról és az ellentételezés meghatározásának módjáról;</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s</w:t>
      </w:r>
      <w:proofErr w:type="gramEnd"/>
      <w:r w:rsidRPr="006A13D8">
        <w:rPr>
          <w:rFonts w:ascii="Times New Roman" w:eastAsia="Times New Roman" w:hAnsi="Times New Roman" w:cs="Times New Roman"/>
          <w:sz w:val="24"/>
          <w:szCs w:val="24"/>
          <w:lang w:eastAsia="hu-HU"/>
        </w:rPr>
        <w:t>)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felbontása jogának gyakorlása esetén alkalmazandó eljárás;</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t)      a fogyasztó számára rendelkezésre áll</w:t>
      </w:r>
      <w:r w:rsidRPr="006A13D8">
        <w:rPr>
          <w:rFonts w:ascii="Times New Roman" w:eastAsia="Times New Roman" w:hAnsi="Times New Roman" w:cs="Times New Roman"/>
          <w:sz w:val="24"/>
          <w:szCs w:val="24"/>
          <w:lang w:eastAsia="hu-HU"/>
        </w:rPr>
        <w:noBreakHyphen/>
        <w:t>e peren kívüli panasz</w:t>
      </w:r>
      <w:r w:rsidRPr="006A13D8">
        <w:rPr>
          <w:rFonts w:ascii="Times New Roman" w:eastAsia="Times New Roman" w:hAnsi="Times New Roman" w:cs="Times New Roman"/>
          <w:sz w:val="24"/>
          <w:szCs w:val="24"/>
          <w:lang w:eastAsia="hu-HU"/>
        </w:rPr>
        <w:noBreakHyphen/>
        <w:t xml:space="preserve"> és jogorvoslati eljárás, és ha igen, akkor </w:t>
      </w:r>
      <w:proofErr w:type="gramStart"/>
      <w:r w:rsidRPr="006A13D8">
        <w:rPr>
          <w:rFonts w:ascii="Times New Roman" w:eastAsia="Times New Roman" w:hAnsi="Times New Roman" w:cs="Times New Roman"/>
          <w:sz w:val="24"/>
          <w:szCs w:val="24"/>
          <w:lang w:eastAsia="hu-HU"/>
        </w:rPr>
        <w:t>az</w:t>
      </w:r>
      <w:proofErr w:type="gramEnd"/>
      <w:r w:rsidRPr="006A13D8">
        <w:rPr>
          <w:rFonts w:ascii="Times New Roman" w:eastAsia="Times New Roman" w:hAnsi="Times New Roman" w:cs="Times New Roman"/>
          <w:sz w:val="24"/>
          <w:szCs w:val="24"/>
          <w:lang w:eastAsia="hu-HU"/>
        </w:rPr>
        <w:t xml:space="preserve"> milyen módon vehető igénybe;</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u)      adott esetben az egyéb szerződési feltételek;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v)      adott esetben az illetékes felügyeleti hatóság neve és címe.</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(3)      A (2) bekezdés i) pontja esetében a hitelezőnek a fogyasztó kérésére ingyenesen rendelkezésére kell bocsátania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teljes időtartama alatt a számlakivonatot törlesztési táblázat formájában.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(4)      </w:t>
      </w:r>
      <w:proofErr w:type="gramStart"/>
      <w:r w:rsidRPr="006A13D8">
        <w:rPr>
          <w:rFonts w:ascii="Times New Roman" w:eastAsia="Times New Roman" w:hAnsi="Times New Roman" w:cs="Times New Roman"/>
          <w:sz w:val="24"/>
          <w:szCs w:val="24"/>
          <w:lang w:eastAsia="hu-HU"/>
        </w:rPr>
        <w:t>Olyan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esetében, ahol a fogyasztó általi fizetések nem vezetnek a teljes hitelösszeg azonnali, ennek megfelelő törlesztéséhez, hanem tőkeképzésre használják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megállapodásban vagy egy járulékos megállapodásban megállapított időszakokban és feltételek szerint, a (2) bekezdés szerinti tájékoztatás világos és egyértelmű nyilatkozatot tartalmaz arra vonatkozóan, hogy az ilyen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 nem írnak elő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szerinti teljes hitelösszeg lehívására visszafizetési garanciát, kivéve, ha ilyen garanciát nyújtanak.</w:t>
      </w:r>
      <w:proofErr w:type="gramEnd"/>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8" w:name="point7"/>
      <w:r w:rsidRPr="006A13D8">
        <w:rPr>
          <w:rFonts w:ascii="Times New Roman" w:eastAsia="Times New Roman" w:hAnsi="Times New Roman" w:cs="Times New Roman"/>
          <w:sz w:val="24"/>
          <w:szCs w:val="24"/>
          <w:lang w:eastAsia="hu-HU"/>
        </w:rPr>
        <w:t>7</w:t>
      </w:r>
      <w:bookmarkEnd w:id="8"/>
      <w:r w:rsidRPr="006A13D8">
        <w:rPr>
          <w:rFonts w:ascii="Times New Roman" w:eastAsia="Times New Roman" w:hAnsi="Times New Roman" w:cs="Times New Roman"/>
          <w:sz w:val="24"/>
          <w:szCs w:val="24"/>
          <w:lang w:eastAsia="hu-HU"/>
        </w:rPr>
        <w:t>        A 2008/48 irányelvnek „Az elállás joga” című 14. cikke az (1) bekezdésében a következőket írja elő:</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„A fogyasztó tizennégy naptári napon belül indokolás nélkül elállhat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megállapodástól.</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Az elállásra nyitva álló időszak kezdete:</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a</w:t>
      </w:r>
      <w:proofErr w:type="gramEnd"/>
      <w:r w:rsidRPr="006A13D8">
        <w:rPr>
          <w:rFonts w:ascii="Times New Roman" w:eastAsia="Times New Roman" w:hAnsi="Times New Roman" w:cs="Times New Roman"/>
          <w:sz w:val="24"/>
          <w:szCs w:val="24"/>
          <w:lang w:eastAsia="hu-HU"/>
        </w:rPr>
        <w:t>)      vagy a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aláírásának napja; vagy</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b)      az a nap, amikor a fogyasztó a 10. cikk értelmében megkapja a szerződéses feltételeket és tájékoztatást, ha ez az időpont későbbi, mint az a) pontban említett időpont.”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9" w:name="point8"/>
      <w:r w:rsidRPr="006A13D8">
        <w:rPr>
          <w:rFonts w:ascii="Times New Roman" w:eastAsia="Times New Roman" w:hAnsi="Times New Roman" w:cs="Times New Roman"/>
          <w:sz w:val="24"/>
          <w:szCs w:val="24"/>
          <w:lang w:eastAsia="hu-HU"/>
        </w:rPr>
        <w:t>8</w:t>
      </w:r>
      <w:bookmarkEnd w:id="9"/>
      <w:r w:rsidRPr="006A13D8">
        <w:rPr>
          <w:rFonts w:ascii="Times New Roman" w:eastAsia="Times New Roman" w:hAnsi="Times New Roman" w:cs="Times New Roman"/>
          <w:sz w:val="24"/>
          <w:szCs w:val="24"/>
          <w:lang w:eastAsia="hu-HU"/>
        </w:rPr>
        <w:t>        Ezen irányelv „Harmonizáció és az irányelv kötelező jellege” című 22. cikkének a szövege a következő:</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xml:space="preserve">„(1)      Amennyiben ez az irányelv harmonizált rendelkezéseket tartalmaz, a tagállamok nem </w:t>
      </w:r>
      <w:proofErr w:type="gramStart"/>
      <w:r w:rsidRPr="006A13D8">
        <w:rPr>
          <w:rFonts w:ascii="Times New Roman" w:eastAsia="Times New Roman" w:hAnsi="Times New Roman" w:cs="Times New Roman"/>
          <w:sz w:val="24"/>
          <w:szCs w:val="24"/>
          <w:lang w:eastAsia="hu-HU"/>
        </w:rPr>
        <w:t>tarthatnak</w:t>
      </w:r>
      <w:proofErr w:type="gramEnd"/>
      <w:r w:rsidRPr="006A13D8">
        <w:rPr>
          <w:rFonts w:ascii="Times New Roman" w:eastAsia="Times New Roman" w:hAnsi="Times New Roman" w:cs="Times New Roman"/>
          <w:sz w:val="24"/>
          <w:szCs w:val="24"/>
          <w:lang w:eastAsia="hu-HU"/>
        </w:rPr>
        <w:t xml:space="preserve"> fenn vagy a nemzeti jogukba nem vezethetnek be az ebben az irányelvben meghatározottaktól eltérő rendelkezéseket.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xml:space="preserve">(3)      A tagállamok továbbá biztosítják, hogy az általuk ezen irányelv végrehajtása során elfogadott rendelkezések a megállapodások szövegezéséből adódóan nem [helyesen: ne </w:t>
      </w:r>
      <w:r w:rsidRPr="006A13D8">
        <w:rPr>
          <w:rFonts w:ascii="Times New Roman" w:eastAsia="Times New Roman" w:hAnsi="Times New Roman" w:cs="Times New Roman"/>
          <w:sz w:val="24"/>
          <w:szCs w:val="24"/>
          <w:lang w:eastAsia="hu-HU"/>
        </w:rPr>
        <w:lastRenderedPageBreak/>
        <w:t>legyenek] megkerülhetők, különösen az ezen irányelv hatálya alá tartozó lehívások vagy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 olyan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megállapodásokba történő integrálásával, amelyek jellege vagy célja lehetővé teszi az irányelv alkalmazásának megkerülését.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10" w:name="point9"/>
      <w:r w:rsidRPr="006A13D8">
        <w:rPr>
          <w:rFonts w:ascii="Times New Roman" w:eastAsia="Times New Roman" w:hAnsi="Times New Roman" w:cs="Times New Roman"/>
          <w:sz w:val="24"/>
          <w:szCs w:val="24"/>
          <w:lang w:eastAsia="hu-HU"/>
        </w:rPr>
        <w:t>9</w:t>
      </w:r>
      <w:bookmarkEnd w:id="10"/>
      <w:r w:rsidRPr="006A13D8">
        <w:rPr>
          <w:rFonts w:ascii="Times New Roman" w:eastAsia="Times New Roman" w:hAnsi="Times New Roman" w:cs="Times New Roman"/>
          <w:sz w:val="24"/>
          <w:szCs w:val="24"/>
          <w:lang w:eastAsia="hu-HU"/>
        </w:rPr>
        <w:t>        Az említett irányelv „Szankciók” című 23. cikke a következőket írja elő:</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xml:space="preserve">„A tagállamoknak meg kell állapítaniuk az ezen irányelv alapján elfogadott nemzeti rendelkezések megszegése esetén alkalmazandó szankciókra vonatkozó szabályokat, és minden szükséges intézkedést meghoznak azok végrehajtásának biztosítására. Az előírt </w:t>
      </w:r>
      <w:proofErr w:type="gramStart"/>
      <w:r w:rsidRPr="006A13D8">
        <w:rPr>
          <w:rFonts w:ascii="Times New Roman" w:eastAsia="Times New Roman" w:hAnsi="Times New Roman" w:cs="Times New Roman"/>
          <w:sz w:val="24"/>
          <w:szCs w:val="24"/>
          <w:lang w:eastAsia="hu-HU"/>
        </w:rPr>
        <w:t>szankcióknak</w:t>
      </w:r>
      <w:proofErr w:type="gramEnd"/>
      <w:r w:rsidRPr="006A13D8">
        <w:rPr>
          <w:rFonts w:ascii="Times New Roman" w:eastAsia="Times New Roman" w:hAnsi="Times New Roman" w:cs="Times New Roman"/>
          <w:sz w:val="24"/>
          <w:szCs w:val="24"/>
          <w:lang w:eastAsia="hu-HU"/>
        </w:rPr>
        <w:t xml:space="preserve"> hatékonyaknak, arányosaknak és visszatartó erejűeknek kell lenniük.”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11" w:name="point10"/>
      <w:r w:rsidRPr="006A13D8">
        <w:rPr>
          <w:rFonts w:ascii="Times New Roman" w:eastAsia="Times New Roman" w:hAnsi="Times New Roman" w:cs="Times New Roman"/>
          <w:sz w:val="24"/>
          <w:szCs w:val="24"/>
          <w:lang w:eastAsia="hu-HU"/>
        </w:rPr>
        <w:t>10</w:t>
      </w:r>
      <w:bookmarkEnd w:id="11"/>
      <w:r w:rsidRPr="006A13D8">
        <w:rPr>
          <w:rFonts w:ascii="Times New Roman" w:eastAsia="Times New Roman" w:hAnsi="Times New Roman" w:cs="Times New Roman"/>
          <w:sz w:val="24"/>
          <w:szCs w:val="24"/>
          <w:lang w:eastAsia="hu-HU"/>
        </w:rPr>
        <w:t>      A 2008/48 irányelvnek az „Általános európai fogyasztói</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hitel</w:t>
      </w:r>
      <w:r w:rsidRPr="006A13D8">
        <w:rPr>
          <w:rFonts w:ascii="Times New Roman" w:eastAsia="Times New Roman" w:hAnsi="Times New Roman" w:cs="Times New Roman"/>
          <w:sz w:val="24"/>
          <w:szCs w:val="24"/>
          <w:lang w:eastAsia="hu-HU"/>
        </w:rPr>
        <w:noBreakHyphen/>
        <w:t>tájékoztató[</w:t>
      </w:r>
      <w:proofErr w:type="spellStart"/>
      <w:r w:rsidRPr="006A13D8">
        <w:rPr>
          <w:rFonts w:ascii="Times New Roman" w:eastAsia="Times New Roman" w:hAnsi="Times New Roman" w:cs="Times New Roman"/>
          <w:sz w:val="24"/>
          <w:szCs w:val="24"/>
          <w:lang w:eastAsia="hu-HU"/>
        </w:rPr>
        <w:t>ról</w:t>
      </w:r>
      <w:proofErr w:type="spellEnd"/>
      <w:r w:rsidRPr="006A13D8">
        <w:rPr>
          <w:rFonts w:ascii="Times New Roman" w:eastAsia="Times New Roman" w:hAnsi="Times New Roman" w:cs="Times New Roman"/>
          <w:sz w:val="24"/>
          <w:szCs w:val="24"/>
          <w:lang w:eastAsia="hu-HU"/>
        </w:rPr>
        <w:t>]” szóló II. melléklete „</w:t>
      </w:r>
      <w:proofErr w:type="gramStart"/>
      <w:r w:rsidRPr="006A13D8">
        <w:rPr>
          <w:rFonts w:ascii="Times New Roman" w:eastAsia="Times New Roman" w:hAnsi="Times New Roman" w:cs="Times New Roman"/>
          <w:sz w:val="24"/>
          <w:szCs w:val="24"/>
          <w:lang w:eastAsia="hu-HU"/>
        </w:rPr>
        <w:t>A</w:t>
      </w:r>
      <w:proofErr w:type="gramEnd"/>
      <w:r w:rsidRPr="006A13D8">
        <w:rPr>
          <w:rFonts w:ascii="Times New Roman" w:eastAsia="Times New Roman" w:hAnsi="Times New Roman" w:cs="Times New Roman"/>
          <w:sz w:val="24"/>
          <w:szCs w:val="24"/>
          <w:lang w:eastAsia="hu-HU"/>
        </w:rPr>
        <w:t xml:space="preserve"> hiteltermék fő jellemzőinek leírása” című 2. pontjában tartalmazza „A részletek és adott esetben a részletek kiutalásának sorrendje” elnevezésű tételt. Ennek a tételnek a következő leírás felel meg:</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„Önnek az alábbi fizetéseket kell teljesítenie:</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[A fogyasztó által teljesítendő fizetések összege, száma és gyakorisága]</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A kamat és/vagy díjak az alábbi módon fizetendők:”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i/>
          <w:iCs/>
          <w:sz w:val="24"/>
          <w:szCs w:val="24"/>
          <w:lang w:eastAsia="hu-HU"/>
        </w:rPr>
        <w:t>A szlovák jog</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12" w:name="point11"/>
      <w:r w:rsidRPr="006A13D8">
        <w:rPr>
          <w:rFonts w:ascii="Times New Roman" w:eastAsia="Times New Roman" w:hAnsi="Times New Roman" w:cs="Times New Roman"/>
          <w:sz w:val="24"/>
          <w:szCs w:val="24"/>
          <w:lang w:eastAsia="hu-HU"/>
        </w:rPr>
        <w:t>11</w:t>
      </w:r>
      <w:bookmarkEnd w:id="12"/>
      <w:r w:rsidRPr="006A13D8">
        <w:rPr>
          <w:rFonts w:ascii="Times New Roman" w:eastAsia="Times New Roman" w:hAnsi="Times New Roman" w:cs="Times New Roman"/>
          <w:sz w:val="24"/>
          <w:szCs w:val="24"/>
          <w:lang w:eastAsia="hu-HU"/>
        </w:rPr>
        <w:t xml:space="preserve">      A </w:t>
      </w:r>
      <w:proofErr w:type="spellStart"/>
      <w:r w:rsidRPr="006A13D8">
        <w:rPr>
          <w:rFonts w:ascii="Times New Roman" w:eastAsia="Times New Roman" w:hAnsi="Times New Roman" w:cs="Times New Roman"/>
          <w:sz w:val="24"/>
          <w:szCs w:val="24"/>
          <w:lang w:eastAsia="hu-HU"/>
        </w:rPr>
        <w:t>zákon</w:t>
      </w:r>
      <w:proofErr w:type="spellEnd"/>
      <w:r w:rsidRPr="006A13D8">
        <w:rPr>
          <w:rFonts w:ascii="Times New Roman" w:eastAsia="Times New Roman" w:hAnsi="Times New Roman" w:cs="Times New Roman"/>
          <w:sz w:val="24"/>
          <w:szCs w:val="24"/>
          <w:lang w:eastAsia="hu-HU"/>
        </w:rPr>
        <w:t xml:space="preserve"> č. 129/2010 Z. z. o </w:t>
      </w:r>
      <w:proofErr w:type="spellStart"/>
      <w:r w:rsidRPr="006A13D8">
        <w:rPr>
          <w:rFonts w:ascii="Times New Roman" w:eastAsia="Times New Roman" w:hAnsi="Times New Roman" w:cs="Times New Roman"/>
          <w:sz w:val="24"/>
          <w:szCs w:val="24"/>
          <w:lang w:eastAsia="hu-HU"/>
        </w:rPr>
        <w:t>spotrebiteľských</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úveroch</w:t>
      </w:r>
      <w:proofErr w:type="spellEnd"/>
      <w:r w:rsidRPr="006A13D8">
        <w:rPr>
          <w:rFonts w:ascii="Times New Roman" w:eastAsia="Times New Roman" w:hAnsi="Times New Roman" w:cs="Times New Roman"/>
          <w:sz w:val="24"/>
          <w:szCs w:val="24"/>
          <w:lang w:eastAsia="hu-HU"/>
        </w:rPr>
        <w:t xml:space="preserve"> </w:t>
      </w:r>
      <w:proofErr w:type="gramStart"/>
      <w:r w:rsidRPr="006A13D8">
        <w:rPr>
          <w:rFonts w:ascii="Times New Roman" w:eastAsia="Times New Roman" w:hAnsi="Times New Roman" w:cs="Times New Roman"/>
          <w:sz w:val="24"/>
          <w:szCs w:val="24"/>
          <w:lang w:eastAsia="hu-HU"/>
        </w:rPr>
        <w:t>a</w:t>
      </w:r>
      <w:proofErr w:type="gramEnd"/>
      <w:r w:rsidRPr="006A13D8">
        <w:rPr>
          <w:rFonts w:ascii="Times New Roman" w:eastAsia="Times New Roman" w:hAnsi="Times New Roman" w:cs="Times New Roman"/>
          <w:sz w:val="24"/>
          <w:szCs w:val="24"/>
          <w:lang w:eastAsia="hu-HU"/>
        </w:rPr>
        <w:t xml:space="preserve"> o </w:t>
      </w:r>
      <w:proofErr w:type="spellStart"/>
      <w:r w:rsidRPr="006A13D8">
        <w:rPr>
          <w:rFonts w:ascii="Times New Roman" w:eastAsia="Times New Roman" w:hAnsi="Times New Roman" w:cs="Times New Roman"/>
          <w:sz w:val="24"/>
          <w:szCs w:val="24"/>
          <w:lang w:eastAsia="hu-HU"/>
        </w:rPr>
        <w:t>iných</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úveroch</w:t>
      </w:r>
      <w:proofErr w:type="spellEnd"/>
      <w:r w:rsidRPr="006A13D8">
        <w:rPr>
          <w:rFonts w:ascii="Times New Roman" w:eastAsia="Times New Roman" w:hAnsi="Times New Roman" w:cs="Times New Roman"/>
          <w:sz w:val="24"/>
          <w:szCs w:val="24"/>
          <w:lang w:eastAsia="hu-HU"/>
        </w:rPr>
        <w:t xml:space="preserve"> a </w:t>
      </w:r>
      <w:proofErr w:type="spellStart"/>
      <w:r w:rsidRPr="006A13D8">
        <w:rPr>
          <w:rFonts w:ascii="Times New Roman" w:eastAsia="Times New Roman" w:hAnsi="Times New Roman" w:cs="Times New Roman"/>
          <w:sz w:val="24"/>
          <w:szCs w:val="24"/>
          <w:lang w:eastAsia="hu-HU"/>
        </w:rPr>
        <w:t>pôžičkách</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pre</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spotrebiteľov</w:t>
      </w:r>
      <w:proofErr w:type="spellEnd"/>
      <w:r w:rsidRPr="006A13D8">
        <w:rPr>
          <w:rFonts w:ascii="Times New Roman" w:eastAsia="Times New Roman" w:hAnsi="Times New Roman" w:cs="Times New Roman"/>
          <w:sz w:val="24"/>
          <w:szCs w:val="24"/>
          <w:lang w:eastAsia="hu-HU"/>
        </w:rPr>
        <w:t xml:space="preserve"> a o </w:t>
      </w:r>
      <w:proofErr w:type="spellStart"/>
      <w:r w:rsidRPr="006A13D8">
        <w:rPr>
          <w:rFonts w:ascii="Times New Roman" w:eastAsia="Times New Roman" w:hAnsi="Times New Roman" w:cs="Times New Roman"/>
          <w:sz w:val="24"/>
          <w:szCs w:val="24"/>
          <w:lang w:eastAsia="hu-HU"/>
        </w:rPr>
        <w:t>zmene</w:t>
      </w:r>
      <w:proofErr w:type="spellEnd"/>
      <w:r w:rsidRPr="006A13D8">
        <w:rPr>
          <w:rFonts w:ascii="Times New Roman" w:eastAsia="Times New Roman" w:hAnsi="Times New Roman" w:cs="Times New Roman"/>
          <w:sz w:val="24"/>
          <w:szCs w:val="24"/>
          <w:lang w:eastAsia="hu-HU"/>
        </w:rPr>
        <w:t xml:space="preserve"> a </w:t>
      </w:r>
      <w:proofErr w:type="spellStart"/>
      <w:r w:rsidRPr="006A13D8">
        <w:rPr>
          <w:rFonts w:ascii="Times New Roman" w:eastAsia="Times New Roman" w:hAnsi="Times New Roman" w:cs="Times New Roman"/>
          <w:sz w:val="24"/>
          <w:szCs w:val="24"/>
          <w:lang w:eastAsia="hu-HU"/>
        </w:rPr>
        <w:t>doplnení</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niektorých</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zákonov</w:t>
      </w:r>
      <w:proofErr w:type="spellEnd"/>
      <w:r w:rsidRPr="006A13D8">
        <w:rPr>
          <w:rFonts w:ascii="Times New Roman" w:eastAsia="Times New Roman" w:hAnsi="Times New Roman" w:cs="Times New Roman"/>
          <w:sz w:val="24"/>
          <w:szCs w:val="24"/>
          <w:lang w:eastAsia="hu-HU"/>
        </w:rPr>
        <w:t xml:space="preserve"> (a fogyasztói hitelről és a fogyasztóknak nyújtott egyéb hitelekről és kölcsönökről, valamint egyes törvények módosításáról szóló 129/2010. sz. törvény, a továbbiakban: 129/2010. sz. törvény) alapeljárásra alkalmazandó szövegének célja a 2008/48 irányelv szlovák jogba való átültetése.</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13" w:name="point12"/>
      <w:r w:rsidRPr="006A13D8">
        <w:rPr>
          <w:rFonts w:ascii="Times New Roman" w:eastAsia="Times New Roman" w:hAnsi="Times New Roman" w:cs="Times New Roman"/>
          <w:sz w:val="24"/>
          <w:szCs w:val="24"/>
          <w:lang w:eastAsia="hu-HU"/>
        </w:rPr>
        <w:t>12</w:t>
      </w:r>
      <w:bookmarkEnd w:id="13"/>
      <w:r w:rsidRPr="006A13D8">
        <w:rPr>
          <w:rFonts w:ascii="Times New Roman" w:eastAsia="Times New Roman" w:hAnsi="Times New Roman" w:cs="Times New Roman"/>
          <w:sz w:val="24"/>
          <w:szCs w:val="24"/>
          <w:lang w:eastAsia="hu-HU"/>
        </w:rPr>
        <w:t>      E törvény 9. cikke értelmében: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„(1)      A fogyasztói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megállapodást írásba kell foglalni. Minden szerződő fél legalább egy példányt kap nyomtatott formában vagy a fogyasztó számára hozzáférhető más tartós adathordozón.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(2)      A fogyasztói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megállapodásnak – a polgári törvénykönyv […] által előírt általános tartalmi elemek mellett – a következőket kell tartalmaznia:</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k)      a fizetések összege, száma és gyakorisága, valamint a kamatok és a további díjak, és adott esetben az a sorrend, amelynek megfelelően a különböző fennálló, eltérő hitelkamatlábú egyenlegekbe befizetésre kerülnek a törlesztések célját szolgáló fizetések;</w:t>
      </w:r>
    </w:p>
    <w:p w:rsidR="00827AF4"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i)      ha egy hitel</w:t>
      </w:r>
      <w:r w:rsidR="00AA3FA6">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megállapodásra vonatkozóan határozott időtartamú tőketörlesztésről van szó, a fogyasztó joga, hogy kérésére ingyenesen, a hitel</w:t>
      </w:r>
      <w:r w:rsidR="00AA3FA6">
        <w:rPr>
          <w:rFonts w:ascii="Times New Roman" w:eastAsia="Times New Roman" w:hAnsi="Times New Roman" w:cs="Times New Roman"/>
          <w:sz w:val="24"/>
          <w:szCs w:val="24"/>
          <w:lang w:eastAsia="hu-HU"/>
        </w:rPr>
        <w:t xml:space="preserve"> </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lastRenderedPageBreak/>
        <w:t>megállapodás</w:t>
      </w:r>
      <w:proofErr w:type="gramEnd"/>
      <w:r w:rsidRPr="006A13D8">
        <w:rPr>
          <w:rFonts w:ascii="Times New Roman" w:eastAsia="Times New Roman" w:hAnsi="Times New Roman" w:cs="Times New Roman"/>
          <w:sz w:val="24"/>
          <w:szCs w:val="24"/>
          <w:lang w:eastAsia="hu-HU"/>
        </w:rPr>
        <w:t xml:space="preserve"> teljes időtartama alatt számlakivonatot kapjon az (5) bekezdés szerinti törlesztési táblázat formájában.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14" w:name="point13"/>
      <w:r w:rsidRPr="006A13D8">
        <w:rPr>
          <w:rFonts w:ascii="Times New Roman" w:eastAsia="Times New Roman" w:hAnsi="Times New Roman" w:cs="Times New Roman"/>
          <w:sz w:val="24"/>
          <w:szCs w:val="24"/>
          <w:lang w:eastAsia="hu-HU"/>
        </w:rPr>
        <w:t>13</w:t>
      </w:r>
      <w:bookmarkEnd w:id="14"/>
      <w:r w:rsidRPr="006A13D8">
        <w:rPr>
          <w:rFonts w:ascii="Times New Roman" w:eastAsia="Times New Roman" w:hAnsi="Times New Roman" w:cs="Times New Roman"/>
          <w:sz w:val="24"/>
          <w:szCs w:val="24"/>
          <w:lang w:eastAsia="hu-HU"/>
        </w:rPr>
        <w:t>      Az említett törvény 11. cikkének (1) bekezdése a következőképpen rendelkezik: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„A nyújtott fogyasztói hitelt kamat</w:t>
      </w:r>
      <w:r w:rsidRPr="006A13D8">
        <w:rPr>
          <w:rFonts w:ascii="Times New Roman" w:eastAsia="Times New Roman" w:hAnsi="Times New Roman" w:cs="Times New Roman"/>
          <w:sz w:val="24"/>
          <w:szCs w:val="24"/>
          <w:lang w:eastAsia="hu-HU"/>
        </w:rPr>
        <w:noBreakHyphen/>
        <w:t xml:space="preserve"> és költségmentesnek kell tekinteni, ha:</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a</w:t>
      </w:r>
      <w:proofErr w:type="gramEnd"/>
      <w:r w:rsidRPr="006A13D8">
        <w:rPr>
          <w:rFonts w:ascii="Times New Roman" w:eastAsia="Times New Roman" w:hAnsi="Times New Roman" w:cs="Times New Roman"/>
          <w:sz w:val="24"/>
          <w:szCs w:val="24"/>
          <w:lang w:eastAsia="hu-HU"/>
        </w:rPr>
        <w:t>)      a fogyasztói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nem felel meg a 9. cikk (1) bekezdésében meghatározott írásbeli formának, és az nem tartalmazza a 9. cikk (2) bekezdésének a)–k), r) és y) pontjában, valamint a 10. cikk (1) bekezdésében meghatározott tartalmi elemeket,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b)      a fogyasztói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a fogyasztó hátrányára pontatlan teljes</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hiteldíj</w:t>
      </w:r>
      <w:r w:rsidRPr="006A13D8">
        <w:rPr>
          <w:rFonts w:ascii="Times New Roman" w:eastAsia="Times New Roman" w:hAnsi="Times New Roman" w:cs="Times New Roman"/>
          <w:sz w:val="24"/>
          <w:szCs w:val="24"/>
          <w:lang w:eastAsia="hu-HU"/>
        </w:rPr>
        <w:noBreakHyphen/>
        <w:t>mutatót tartalmaz.”</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15" w:name="point14"/>
      <w:r w:rsidRPr="006A13D8">
        <w:rPr>
          <w:rFonts w:ascii="Times New Roman" w:eastAsia="Times New Roman" w:hAnsi="Times New Roman" w:cs="Times New Roman"/>
          <w:sz w:val="24"/>
          <w:szCs w:val="24"/>
          <w:lang w:eastAsia="hu-HU"/>
        </w:rPr>
        <w:t>14</w:t>
      </w:r>
      <w:bookmarkEnd w:id="15"/>
      <w:r w:rsidRPr="006A13D8">
        <w:rPr>
          <w:rFonts w:ascii="Times New Roman" w:eastAsia="Times New Roman" w:hAnsi="Times New Roman" w:cs="Times New Roman"/>
          <w:sz w:val="24"/>
          <w:szCs w:val="24"/>
          <w:lang w:eastAsia="hu-HU"/>
        </w:rPr>
        <w:t xml:space="preserve">      Az </w:t>
      </w:r>
      <w:proofErr w:type="spellStart"/>
      <w:r w:rsidRPr="006A13D8">
        <w:rPr>
          <w:rFonts w:ascii="Times New Roman" w:eastAsia="Times New Roman" w:hAnsi="Times New Roman" w:cs="Times New Roman"/>
          <w:sz w:val="24"/>
          <w:szCs w:val="24"/>
          <w:lang w:eastAsia="hu-HU"/>
        </w:rPr>
        <w:t>Občiansky</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zákonník</w:t>
      </w:r>
      <w:proofErr w:type="spellEnd"/>
      <w:r w:rsidRPr="006A13D8">
        <w:rPr>
          <w:rFonts w:ascii="Times New Roman" w:eastAsia="Times New Roman" w:hAnsi="Times New Roman" w:cs="Times New Roman"/>
          <w:sz w:val="24"/>
          <w:szCs w:val="24"/>
          <w:lang w:eastAsia="hu-HU"/>
        </w:rPr>
        <w:t xml:space="preserve"> (polgári törvénykönyv) 40. cikke a következőket írja elő:</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„(1)      A törvényben előírt vagy a felek megállapodása szerinti alakiság mellőzésével létrehozott jognyilatkozat érvénytelen.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(3)      Az írásba foglalt jognyilatkozat a létrehozójának aláírásával érvényes. Eltérő szabályozás hiányában, amennyiben több személy vesz részt a jognyilatkozat elkészítésében, e személyek aláírásának nem kell szükségszerűen ugyanazon a lapon szerepelnie. Az aláírást annak mechanikai úton előállított képe helyettesítheti a szokások által meghatározott esetekben.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(4)      Az írásbeli forma követelménye teljesül, ha a jognyilatkozatot távíró, telex vagy olyan elektronikus eszközök útján hozzák létre, amelyek lehetővé teszik a jognyilatkozat tartalmának materiális formában történő megjelenítését és létrehozójának azonosítását. Az írásbeli forma követelménye akkor is teljesül, ha az elektronikus eszközök útján létrehozott jognyilatkozatot fokozott biztonságú elektronikus aláírással látják el.</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16" w:name="point15"/>
      <w:r w:rsidRPr="006A13D8">
        <w:rPr>
          <w:rFonts w:ascii="Times New Roman" w:eastAsia="Times New Roman" w:hAnsi="Times New Roman" w:cs="Times New Roman"/>
          <w:sz w:val="24"/>
          <w:szCs w:val="24"/>
          <w:lang w:eastAsia="hu-HU"/>
        </w:rPr>
        <w:t>15</w:t>
      </w:r>
      <w:bookmarkEnd w:id="16"/>
      <w:r w:rsidRPr="006A13D8">
        <w:rPr>
          <w:rFonts w:ascii="Times New Roman" w:eastAsia="Times New Roman" w:hAnsi="Times New Roman" w:cs="Times New Roman"/>
          <w:sz w:val="24"/>
          <w:szCs w:val="24"/>
          <w:lang w:eastAsia="hu-HU"/>
        </w:rPr>
        <w:t>      A polgári törvénykönyv 46. cikkének (2) bekezdése értelmében: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„Szerződés írásbeli formában való megkötése kizárólag egy ajánlat és egy írásbeli jognyilatkozattal való elfogadás fennállását feltételezi. […]”</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17" w:name="point16"/>
      <w:r w:rsidRPr="006A13D8">
        <w:rPr>
          <w:rFonts w:ascii="Times New Roman" w:eastAsia="Times New Roman" w:hAnsi="Times New Roman" w:cs="Times New Roman"/>
          <w:sz w:val="24"/>
          <w:szCs w:val="24"/>
          <w:lang w:eastAsia="hu-HU"/>
        </w:rPr>
        <w:t>16</w:t>
      </w:r>
      <w:bookmarkEnd w:id="17"/>
      <w:r w:rsidRPr="006A13D8">
        <w:rPr>
          <w:rFonts w:ascii="Times New Roman" w:eastAsia="Times New Roman" w:hAnsi="Times New Roman" w:cs="Times New Roman"/>
          <w:sz w:val="24"/>
          <w:szCs w:val="24"/>
          <w:lang w:eastAsia="hu-HU"/>
        </w:rPr>
        <w:t xml:space="preserve">      Az </w:t>
      </w:r>
      <w:proofErr w:type="spellStart"/>
      <w:r w:rsidRPr="006A13D8">
        <w:rPr>
          <w:rFonts w:ascii="Times New Roman" w:eastAsia="Times New Roman" w:hAnsi="Times New Roman" w:cs="Times New Roman"/>
          <w:sz w:val="24"/>
          <w:szCs w:val="24"/>
          <w:lang w:eastAsia="hu-HU"/>
        </w:rPr>
        <w:t>Obchodný</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zákonník</w:t>
      </w:r>
      <w:proofErr w:type="spellEnd"/>
      <w:r w:rsidRPr="006A13D8">
        <w:rPr>
          <w:rFonts w:ascii="Times New Roman" w:eastAsia="Times New Roman" w:hAnsi="Times New Roman" w:cs="Times New Roman"/>
          <w:sz w:val="24"/>
          <w:szCs w:val="24"/>
          <w:lang w:eastAsia="hu-HU"/>
        </w:rPr>
        <w:t xml:space="preserve"> (kereskedelmi törvénykönyv) 273. cikkének a szövege a következő:</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„(1)      A szerződés tartalmának egy része a szakmai szervezetek vagy érdekszervezetek által előre meghatározott általános szerződési feltételekre történő utalással, illetve a megkötendő szerződés felei által ismert vagy az ajánlathoz csatolt más kereskedelmi feltételekre történő hivatkozással is megállapítható.</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lastRenderedPageBreak/>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(3)      A szerződés megkötéséhez a kereskedelmi gyakorlatban használt szerződésminták alkalmazhatóak.”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b/>
          <w:bCs/>
          <w:sz w:val="24"/>
          <w:szCs w:val="24"/>
          <w:lang w:eastAsia="hu-HU"/>
        </w:rPr>
        <w:t>Az alapeljárás és az előzetes döntéshozatalra előterjesztett kérdések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18" w:name="point17"/>
      <w:r w:rsidRPr="006A13D8">
        <w:rPr>
          <w:rFonts w:ascii="Times New Roman" w:eastAsia="Times New Roman" w:hAnsi="Times New Roman" w:cs="Times New Roman"/>
          <w:sz w:val="24"/>
          <w:szCs w:val="24"/>
          <w:lang w:eastAsia="hu-HU"/>
        </w:rPr>
        <w:t>17</w:t>
      </w:r>
      <w:bookmarkEnd w:id="18"/>
      <w:r w:rsidRPr="006A13D8">
        <w:rPr>
          <w:rFonts w:ascii="Times New Roman" w:eastAsia="Times New Roman" w:hAnsi="Times New Roman" w:cs="Times New Roman"/>
          <w:sz w:val="24"/>
          <w:szCs w:val="24"/>
          <w:lang w:eastAsia="hu-HU"/>
        </w:rPr>
        <w:t>      2011. június 29</w:t>
      </w:r>
      <w:r w:rsidRPr="006A13D8">
        <w:rPr>
          <w:rFonts w:ascii="Times New Roman" w:eastAsia="Times New Roman" w:hAnsi="Times New Roman" w:cs="Times New Roman"/>
          <w:sz w:val="24"/>
          <w:szCs w:val="24"/>
          <w:lang w:eastAsia="hu-HU"/>
        </w:rPr>
        <w:noBreakHyphen/>
        <w:t xml:space="preserve">én a Home Credit </w:t>
      </w:r>
      <w:proofErr w:type="spellStart"/>
      <w:r w:rsidRPr="006A13D8">
        <w:rPr>
          <w:rFonts w:ascii="Times New Roman" w:eastAsia="Times New Roman" w:hAnsi="Times New Roman" w:cs="Times New Roman"/>
          <w:sz w:val="24"/>
          <w:szCs w:val="24"/>
          <w:lang w:eastAsia="hu-HU"/>
        </w:rPr>
        <w:t>Slovakia</w:t>
      </w:r>
      <w:proofErr w:type="spellEnd"/>
      <w:r w:rsidRPr="006A13D8">
        <w:rPr>
          <w:rFonts w:ascii="Times New Roman" w:eastAsia="Times New Roman" w:hAnsi="Times New Roman" w:cs="Times New Roman"/>
          <w:sz w:val="24"/>
          <w:szCs w:val="24"/>
          <w:lang w:eastAsia="hu-HU"/>
        </w:rPr>
        <w:t xml:space="preserve"> hitelezői minőségében olyan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megállapodást kötött K. </w:t>
      </w:r>
      <w:proofErr w:type="spellStart"/>
      <w:r w:rsidRPr="006A13D8">
        <w:rPr>
          <w:rFonts w:ascii="Times New Roman" w:eastAsia="Times New Roman" w:hAnsi="Times New Roman" w:cs="Times New Roman"/>
          <w:sz w:val="24"/>
          <w:szCs w:val="24"/>
          <w:lang w:eastAsia="hu-HU"/>
        </w:rPr>
        <w:t>Bíróová</w:t>
      </w:r>
      <w:proofErr w:type="spellEnd"/>
      <w:r w:rsidRPr="006A13D8">
        <w:rPr>
          <w:rFonts w:ascii="Times New Roman" w:eastAsia="Times New Roman" w:hAnsi="Times New Roman" w:cs="Times New Roman"/>
          <w:sz w:val="24"/>
          <w:szCs w:val="24"/>
          <w:lang w:eastAsia="hu-HU"/>
        </w:rPr>
        <w:t xml:space="preserve"> adóssal, amely a hitelnyújtás időpontjában előrenyomtatott formanyomtatvány alapján készült.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19" w:name="point18"/>
      <w:r w:rsidRPr="006A13D8">
        <w:rPr>
          <w:rFonts w:ascii="Times New Roman" w:eastAsia="Times New Roman" w:hAnsi="Times New Roman" w:cs="Times New Roman"/>
          <w:sz w:val="24"/>
          <w:szCs w:val="24"/>
          <w:lang w:eastAsia="hu-HU"/>
        </w:rPr>
        <w:t>18</w:t>
      </w:r>
      <w:bookmarkEnd w:id="19"/>
      <w:r w:rsidRPr="006A13D8">
        <w:rPr>
          <w:rFonts w:ascii="Times New Roman" w:eastAsia="Times New Roman" w:hAnsi="Times New Roman" w:cs="Times New Roman"/>
          <w:sz w:val="24"/>
          <w:szCs w:val="24"/>
          <w:lang w:eastAsia="hu-HU"/>
        </w:rPr>
        <w:t>      Az előzetes döntéshozatalra utaló határozatból kitűnik, hogy ezek az előrenyomtatott részek olyan információkat tartalmaztak, amelyek többek között az adós személyes adataira, valamint a foglalkoztatására – ideértve a jövedelmét – vonatkoztak. Ezenkívül pontosításra kerültek a magára a hitelre vonatkozó adatok, valamint a pénzeszközök rendelkezésre bocsátása, tehát különösen a teljes hitelösszeg, a fogyasztó által fizetendő teljes összeg, a havi törlesztő</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részletek összege, a havi törlesztő</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 xml:space="preserve">részletek száma, a </w:t>
      </w:r>
      <w:proofErr w:type="gramStart"/>
      <w:r w:rsidRPr="006A13D8">
        <w:rPr>
          <w:rFonts w:ascii="Times New Roman" w:eastAsia="Times New Roman" w:hAnsi="Times New Roman" w:cs="Times New Roman"/>
          <w:sz w:val="24"/>
          <w:szCs w:val="24"/>
          <w:lang w:eastAsia="hu-HU"/>
        </w:rPr>
        <w:t>hitel törlesztő</w:t>
      </w:r>
      <w:proofErr w:type="gramEnd"/>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részleteinek megfizetésére vonatkozó határidők, a hitelkamatláb, valamint a hitel teljes mértékben történő visszafizetésének határideje, amely a hitelnyújtás időpontjától számított 36 hónap elteltével jár el. Mivel a becsült teljes</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hiteldíj</w:t>
      </w:r>
      <w:r w:rsidRPr="006A13D8">
        <w:rPr>
          <w:rFonts w:ascii="Times New Roman" w:eastAsia="Times New Roman" w:hAnsi="Times New Roman" w:cs="Times New Roman"/>
          <w:sz w:val="24"/>
          <w:szCs w:val="24"/>
          <w:lang w:eastAsia="hu-HU"/>
        </w:rPr>
        <w:noBreakHyphen/>
        <w:t>mutató 35% és 37,5% között mozgott, annak pontos összegét a hitelnyújtást követően kellett meghatározni.</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20" w:name="point19"/>
      <w:r w:rsidRPr="006A13D8">
        <w:rPr>
          <w:rFonts w:ascii="Times New Roman" w:eastAsia="Times New Roman" w:hAnsi="Times New Roman" w:cs="Times New Roman"/>
          <w:sz w:val="24"/>
          <w:szCs w:val="24"/>
          <w:lang w:eastAsia="hu-HU"/>
        </w:rPr>
        <w:t>19</w:t>
      </w:r>
      <w:bookmarkEnd w:id="20"/>
      <w:r w:rsidRPr="006A13D8">
        <w:rPr>
          <w:rFonts w:ascii="Times New Roman" w:eastAsia="Times New Roman" w:hAnsi="Times New Roman" w:cs="Times New Roman"/>
          <w:sz w:val="24"/>
          <w:szCs w:val="24"/>
          <w:lang w:eastAsia="hu-HU"/>
        </w:rPr>
        <w:t>      Mivel a szóban forgó teljes hitelösszeg 700 euró, az adós által fizetendő teljes összeget a megállapodásban 1087,56 euróban határozták meg.</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21" w:name="point20"/>
      <w:r w:rsidRPr="006A13D8">
        <w:rPr>
          <w:rFonts w:ascii="Times New Roman" w:eastAsia="Times New Roman" w:hAnsi="Times New Roman" w:cs="Times New Roman"/>
          <w:sz w:val="24"/>
          <w:szCs w:val="24"/>
          <w:lang w:eastAsia="hu-HU"/>
        </w:rPr>
        <w:t>20</w:t>
      </w:r>
      <w:bookmarkEnd w:id="21"/>
      <w:r w:rsidRPr="006A13D8">
        <w:rPr>
          <w:rFonts w:ascii="Times New Roman" w:eastAsia="Times New Roman" w:hAnsi="Times New Roman" w:cs="Times New Roman"/>
          <w:sz w:val="24"/>
          <w:szCs w:val="24"/>
          <w:lang w:eastAsia="hu-HU"/>
        </w:rPr>
        <w:t xml:space="preserve">      Továbbá ez a megállapodás előírta, hogy a „Home Credit </w:t>
      </w:r>
      <w:proofErr w:type="spellStart"/>
      <w:r w:rsidRPr="006A13D8">
        <w:rPr>
          <w:rFonts w:ascii="Times New Roman" w:eastAsia="Times New Roman" w:hAnsi="Times New Roman" w:cs="Times New Roman"/>
          <w:sz w:val="24"/>
          <w:szCs w:val="24"/>
          <w:lang w:eastAsia="hu-HU"/>
        </w:rPr>
        <w:t>Slovakia</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a.s</w:t>
      </w:r>
      <w:proofErr w:type="spellEnd"/>
      <w:r w:rsidRPr="006A13D8">
        <w:rPr>
          <w:rFonts w:ascii="Times New Roman" w:eastAsia="Times New Roman" w:hAnsi="Times New Roman" w:cs="Times New Roman"/>
          <w:sz w:val="24"/>
          <w:szCs w:val="24"/>
          <w:lang w:eastAsia="hu-HU"/>
        </w:rPr>
        <w:t xml:space="preserve">. </w:t>
      </w:r>
      <w:proofErr w:type="gramStart"/>
      <w:r w:rsidRPr="006A13D8">
        <w:rPr>
          <w:rFonts w:ascii="Times New Roman" w:eastAsia="Times New Roman" w:hAnsi="Times New Roman" w:cs="Times New Roman"/>
          <w:sz w:val="24"/>
          <w:szCs w:val="24"/>
          <w:lang w:eastAsia="hu-HU"/>
        </w:rPr>
        <w:t>társaság</w:t>
      </w:r>
      <w:proofErr w:type="gramEnd"/>
      <w:r w:rsidRPr="006A13D8">
        <w:rPr>
          <w:rFonts w:ascii="Times New Roman" w:eastAsia="Times New Roman" w:hAnsi="Times New Roman" w:cs="Times New Roman"/>
          <w:sz w:val="24"/>
          <w:szCs w:val="24"/>
          <w:lang w:eastAsia="hu-HU"/>
        </w:rPr>
        <w:t xml:space="preserve"> kölcsönszerződésének feltételei – pénzkölcsön” című dokumentum (a továbbiakban: általános szerződési feltételek) az említett megállapodás szerves részét képezte.</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22" w:name="point21"/>
      <w:r w:rsidRPr="006A13D8">
        <w:rPr>
          <w:rFonts w:ascii="Times New Roman" w:eastAsia="Times New Roman" w:hAnsi="Times New Roman" w:cs="Times New Roman"/>
          <w:sz w:val="24"/>
          <w:szCs w:val="24"/>
          <w:lang w:eastAsia="hu-HU"/>
        </w:rPr>
        <w:t>21</w:t>
      </w:r>
      <w:bookmarkEnd w:id="22"/>
      <w:r w:rsidRPr="006A13D8">
        <w:rPr>
          <w:rFonts w:ascii="Times New Roman" w:eastAsia="Times New Roman" w:hAnsi="Times New Roman" w:cs="Times New Roman"/>
          <w:sz w:val="24"/>
          <w:szCs w:val="24"/>
          <w:lang w:eastAsia="hu-HU"/>
        </w:rPr>
        <w:t>      Az így elkészített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 xml:space="preserve">megállapodást a Home Credit </w:t>
      </w:r>
      <w:proofErr w:type="spellStart"/>
      <w:r w:rsidRPr="006A13D8">
        <w:rPr>
          <w:rFonts w:ascii="Times New Roman" w:eastAsia="Times New Roman" w:hAnsi="Times New Roman" w:cs="Times New Roman"/>
          <w:sz w:val="24"/>
          <w:szCs w:val="24"/>
          <w:lang w:eastAsia="hu-HU"/>
        </w:rPr>
        <w:t>Slovakia</w:t>
      </w:r>
      <w:proofErr w:type="spellEnd"/>
      <w:r w:rsidRPr="006A13D8">
        <w:rPr>
          <w:rFonts w:ascii="Times New Roman" w:eastAsia="Times New Roman" w:hAnsi="Times New Roman" w:cs="Times New Roman"/>
          <w:sz w:val="24"/>
          <w:szCs w:val="24"/>
          <w:lang w:eastAsia="hu-HU"/>
        </w:rPr>
        <w:t xml:space="preserve"> és K. </w:t>
      </w:r>
      <w:proofErr w:type="spellStart"/>
      <w:r w:rsidRPr="006A13D8">
        <w:rPr>
          <w:rFonts w:ascii="Times New Roman" w:eastAsia="Times New Roman" w:hAnsi="Times New Roman" w:cs="Times New Roman"/>
          <w:sz w:val="24"/>
          <w:szCs w:val="24"/>
          <w:lang w:eastAsia="hu-HU"/>
        </w:rPr>
        <w:t>Bíróová</w:t>
      </w:r>
      <w:proofErr w:type="spellEnd"/>
      <w:r w:rsidRPr="006A13D8">
        <w:rPr>
          <w:rFonts w:ascii="Times New Roman" w:eastAsia="Times New Roman" w:hAnsi="Times New Roman" w:cs="Times New Roman"/>
          <w:sz w:val="24"/>
          <w:szCs w:val="24"/>
          <w:lang w:eastAsia="hu-HU"/>
        </w:rPr>
        <w:t xml:space="preserve"> aláírta. Egyébiránt e megállapodás értelmében K. </w:t>
      </w:r>
      <w:proofErr w:type="spellStart"/>
      <w:r w:rsidRPr="006A13D8">
        <w:rPr>
          <w:rFonts w:ascii="Times New Roman" w:eastAsia="Times New Roman" w:hAnsi="Times New Roman" w:cs="Times New Roman"/>
          <w:sz w:val="24"/>
          <w:szCs w:val="24"/>
          <w:lang w:eastAsia="hu-HU"/>
        </w:rPr>
        <w:t>Bíróová</w:t>
      </w:r>
      <w:proofErr w:type="spellEnd"/>
      <w:r w:rsidRPr="006A13D8">
        <w:rPr>
          <w:rFonts w:ascii="Times New Roman" w:eastAsia="Times New Roman" w:hAnsi="Times New Roman" w:cs="Times New Roman"/>
          <w:sz w:val="24"/>
          <w:szCs w:val="24"/>
          <w:lang w:eastAsia="hu-HU"/>
        </w:rPr>
        <w:t xml:space="preserve"> aláírásával megerősítette, hogy megkapta az általános szerződési feltételeket, és azokat tudomásul vette, hogy az ezen általános szerződési feltételekben szereplő kikötések egyértelműek és kellően pontosak, valamint hogy egyetértett azzal, hogy kötik őt az említett általános szerződési feltételek.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23" w:name="point22"/>
      <w:r w:rsidRPr="006A13D8">
        <w:rPr>
          <w:rFonts w:ascii="Times New Roman" w:eastAsia="Times New Roman" w:hAnsi="Times New Roman" w:cs="Times New Roman"/>
          <w:sz w:val="24"/>
          <w:szCs w:val="24"/>
          <w:lang w:eastAsia="hu-HU"/>
        </w:rPr>
        <w:t>22</w:t>
      </w:r>
      <w:bookmarkEnd w:id="23"/>
      <w:r w:rsidRPr="006A13D8">
        <w:rPr>
          <w:rFonts w:ascii="Times New Roman" w:eastAsia="Times New Roman" w:hAnsi="Times New Roman" w:cs="Times New Roman"/>
          <w:sz w:val="24"/>
          <w:szCs w:val="24"/>
          <w:lang w:eastAsia="hu-HU"/>
        </w:rPr>
        <w:t>      Magukat az általános szerződési feltételeket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felei nem írták alá.</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24" w:name="point23"/>
      <w:r w:rsidRPr="006A13D8">
        <w:rPr>
          <w:rFonts w:ascii="Times New Roman" w:eastAsia="Times New Roman" w:hAnsi="Times New Roman" w:cs="Times New Roman"/>
          <w:sz w:val="24"/>
          <w:szCs w:val="24"/>
          <w:lang w:eastAsia="hu-HU"/>
        </w:rPr>
        <w:t>23</w:t>
      </w:r>
      <w:bookmarkEnd w:id="24"/>
      <w:r w:rsidRPr="006A13D8">
        <w:rPr>
          <w:rFonts w:ascii="Times New Roman" w:eastAsia="Times New Roman" w:hAnsi="Times New Roman" w:cs="Times New Roman"/>
          <w:sz w:val="24"/>
          <w:szCs w:val="24"/>
          <w:lang w:eastAsia="hu-HU"/>
        </w:rPr>
        <w:t>      Ezen általános szerződési feltételek értelmében az adós kérhette, hogy a hitelező bocsásson a rendelkezésére ingyenesen és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teljes időtartama alatt törlesztési táblázat formájában olyan számlakivonatot, amely feltünteti a hátralévő fizetéseket, az ilyen összegek megfizetésére vonatkozó időtartamokat és feltételeket, ideértve az egyes visszafizetések bontását a tőke törlesztésének, a kamatoknak és adott esetben a járulékos költségeknek a megjelölésével.</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25" w:name="point24"/>
      <w:r w:rsidRPr="006A13D8">
        <w:rPr>
          <w:rFonts w:ascii="Times New Roman" w:eastAsia="Times New Roman" w:hAnsi="Times New Roman" w:cs="Times New Roman"/>
          <w:sz w:val="24"/>
          <w:szCs w:val="24"/>
          <w:lang w:eastAsia="hu-HU"/>
        </w:rPr>
        <w:t>24</w:t>
      </w:r>
      <w:bookmarkEnd w:id="25"/>
      <w:r w:rsidRPr="006A13D8">
        <w:rPr>
          <w:rFonts w:ascii="Times New Roman" w:eastAsia="Times New Roman" w:hAnsi="Times New Roman" w:cs="Times New Roman"/>
          <w:sz w:val="24"/>
          <w:szCs w:val="24"/>
          <w:lang w:eastAsia="hu-HU"/>
        </w:rPr>
        <w:t>      Az említett általános szerződési feltételek ugyanakkor nem pontosították, hogy a kölcsön visszafizetése címén az adós által teljesített egyes havi törlesztő</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részleteket milyen arányban fordítják egyrészt a kamatok és a költségek megfizetésére, másrészt pedig a tőke törlesztésére.</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26" w:name="point25"/>
      <w:r w:rsidRPr="006A13D8">
        <w:rPr>
          <w:rFonts w:ascii="Times New Roman" w:eastAsia="Times New Roman" w:hAnsi="Times New Roman" w:cs="Times New Roman"/>
          <w:sz w:val="24"/>
          <w:szCs w:val="24"/>
          <w:lang w:eastAsia="hu-HU"/>
        </w:rPr>
        <w:lastRenderedPageBreak/>
        <w:t>25</w:t>
      </w:r>
      <w:bookmarkEnd w:id="26"/>
      <w:r w:rsidRPr="006A13D8">
        <w:rPr>
          <w:rFonts w:ascii="Times New Roman" w:eastAsia="Times New Roman" w:hAnsi="Times New Roman" w:cs="Times New Roman"/>
          <w:sz w:val="24"/>
          <w:szCs w:val="24"/>
          <w:lang w:eastAsia="hu-HU"/>
        </w:rPr>
        <w:t>      Miután K. </w:t>
      </w:r>
      <w:proofErr w:type="spellStart"/>
      <w:r w:rsidRPr="006A13D8">
        <w:rPr>
          <w:rFonts w:ascii="Times New Roman" w:eastAsia="Times New Roman" w:hAnsi="Times New Roman" w:cs="Times New Roman"/>
          <w:sz w:val="24"/>
          <w:szCs w:val="24"/>
          <w:lang w:eastAsia="hu-HU"/>
        </w:rPr>
        <w:t>Bíróová</w:t>
      </w:r>
      <w:proofErr w:type="spellEnd"/>
      <w:r w:rsidRPr="006A13D8">
        <w:rPr>
          <w:rFonts w:ascii="Times New Roman" w:eastAsia="Times New Roman" w:hAnsi="Times New Roman" w:cs="Times New Roman"/>
          <w:sz w:val="24"/>
          <w:szCs w:val="24"/>
          <w:lang w:eastAsia="hu-HU"/>
        </w:rPr>
        <w:t xml:space="preserve"> kifizetett kéthavi törlesztő</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 xml:space="preserve">részletet, abbahagyta a nyújtott hitel visszafizetését. Következésképpen a Home Credit </w:t>
      </w:r>
      <w:proofErr w:type="spellStart"/>
      <w:r w:rsidRPr="006A13D8">
        <w:rPr>
          <w:rFonts w:ascii="Times New Roman" w:eastAsia="Times New Roman" w:hAnsi="Times New Roman" w:cs="Times New Roman"/>
          <w:sz w:val="24"/>
          <w:szCs w:val="24"/>
          <w:lang w:eastAsia="hu-HU"/>
        </w:rPr>
        <w:t>Slovakia</w:t>
      </w:r>
      <w:proofErr w:type="spellEnd"/>
      <w:r w:rsidRPr="006A13D8">
        <w:rPr>
          <w:rFonts w:ascii="Times New Roman" w:eastAsia="Times New Roman" w:hAnsi="Times New Roman" w:cs="Times New Roman"/>
          <w:sz w:val="24"/>
          <w:szCs w:val="24"/>
          <w:lang w:eastAsia="hu-HU"/>
        </w:rPr>
        <w:t xml:space="preserve"> a teljes hitel határidő előtti visszafizetését követelte, és felhívta K. </w:t>
      </w:r>
      <w:proofErr w:type="spellStart"/>
      <w:r w:rsidRPr="006A13D8">
        <w:rPr>
          <w:rFonts w:ascii="Times New Roman" w:eastAsia="Times New Roman" w:hAnsi="Times New Roman" w:cs="Times New Roman"/>
          <w:sz w:val="24"/>
          <w:szCs w:val="24"/>
          <w:lang w:eastAsia="hu-HU"/>
        </w:rPr>
        <w:t>Bíróovát</w:t>
      </w:r>
      <w:proofErr w:type="spellEnd"/>
      <w:r w:rsidRPr="006A13D8">
        <w:rPr>
          <w:rFonts w:ascii="Times New Roman" w:eastAsia="Times New Roman" w:hAnsi="Times New Roman" w:cs="Times New Roman"/>
          <w:sz w:val="24"/>
          <w:szCs w:val="24"/>
          <w:lang w:eastAsia="hu-HU"/>
        </w:rPr>
        <w:t xml:space="preserve"> a tőke, a késedelmi kamatok, valamint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megállapodásban előírt, késedelem esetére kikötött kötbér megfizetésére.</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27" w:name="point26"/>
      <w:r w:rsidRPr="006A13D8">
        <w:rPr>
          <w:rFonts w:ascii="Times New Roman" w:eastAsia="Times New Roman" w:hAnsi="Times New Roman" w:cs="Times New Roman"/>
          <w:sz w:val="24"/>
          <w:szCs w:val="24"/>
          <w:lang w:eastAsia="hu-HU"/>
        </w:rPr>
        <w:t>26</w:t>
      </w:r>
      <w:bookmarkEnd w:id="27"/>
      <w:r w:rsidRPr="006A13D8">
        <w:rPr>
          <w:rFonts w:ascii="Times New Roman" w:eastAsia="Times New Roman" w:hAnsi="Times New Roman" w:cs="Times New Roman"/>
          <w:sz w:val="24"/>
          <w:szCs w:val="24"/>
          <w:lang w:eastAsia="hu-HU"/>
        </w:rPr>
        <w:t xml:space="preserve">      A Home Credit </w:t>
      </w:r>
      <w:proofErr w:type="spellStart"/>
      <w:r w:rsidRPr="006A13D8">
        <w:rPr>
          <w:rFonts w:ascii="Times New Roman" w:eastAsia="Times New Roman" w:hAnsi="Times New Roman" w:cs="Times New Roman"/>
          <w:sz w:val="24"/>
          <w:szCs w:val="24"/>
          <w:lang w:eastAsia="hu-HU"/>
        </w:rPr>
        <w:t>Slovakia</w:t>
      </w:r>
      <w:proofErr w:type="spellEnd"/>
      <w:r w:rsidRPr="006A13D8">
        <w:rPr>
          <w:rFonts w:ascii="Times New Roman" w:eastAsia="Times New Roman" w:hAnsi="Times New Roman" w:cs="Times New Roman"/>
          <w:sz w:val="24"/>
          <w:szCs w:val="24"/>
          <w:lang w:eastAsia="hu-HU"/>
        </w:rPr>
        <w:t>, miután követelése nem teljesült, keresetet indított a kérdést előterjesztő bíróság előtt követelésének behajtása érdekében. E tekintetben e bíróság kétségeit fejezi ki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érvényességét illetően, mivel annak általános szerződési feltételeit nem írták alá a felek, és e bíróság arra az álláspontra helyezkedik, hogy a jogvita megoldása a 2008/48 irányelv értelmezésétől függ.</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28" w:name="point27"/>
      <w:r w:rsidRPr="006A13D8">
        <w:rPr>
          <w:rFonts w:ascii="Times New Roman" w:eastAsia="Times New Roman" w:hAnsi="Times New Roman" w:cs="Times New Roman"/>
          <w:sz w:val="24"/>
          <w:szCs w:val="24"/>
          <w:lang w:eastAsia="hu-HU"/>
        </w:rPr>
        <w:t>27</w:t>
      </w:r>
      <w:bookmarkEnd w:id="28"/>
      <w:r w:rsidRPr="006A13D8">
        <w:rPr>
          <w:rFonts w:ascii="Times New Roman" w:eastAsia="Times New Roman" w:hAnsi="Times New Roman" w:cs="Times New Roman"/>
          <w:sz w:val="24"/>
          <w:szCs w:val="24"/>
          <w:lang w:eastAsia="hu-HU"/>
        </w:rPr>
        <w:t xml:space="preserve">      Ilyen körülmények között az </w:t>
      </w:r>
      <w:proofErr w:type="spellStart"/>
      <w:r w:rsidRPr="006A13D8">
        <w:rPr>
          <w:rFonts w:ascii="Times New Roman" w:eastAsia="Times New Roman" w:hAnsi="Times New Roman" w:cs="Times New Roman"/>
          <w:sz w:val="24"/>
          <w:szCs w:val="24"/>
          <w:lang w:eastAsia="hu-HU"/>
        </w:rPr>
        <w:t>Okresný</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súd</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Dunajská</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Streda</w:t>
      </w:r>
      <w:proofErr w:type="spellEnd"/>
      <w:r w:rsidRPr="006A13D8">
        <w:rPr>
          <w:rFonts w:ascii="Times New Roman" w:eastAsia="Times New Roman" w:hAnsi="Times New Roman" w:cs="Times New Roman"/>
          <w:sz w:val="24"/>
          <w:szCs w:val="24"/>
          <w:lang w:eastAsia="hu-HU"/>
        </w:rPr>
        <w:t xml:space="preserve"> (dunaszerdahelyi kerületi bíróság, Szlovákia) úgy határozott, hogy felfüggeszti az eljárást, és a következő kérdéseket terjeszti a Bíróság elé előzetes döntéshozatalra:</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„1)      </w:t>
      </w:r>
      <w:proofErr w:type="gramStart"/>
      <w:r w:rsidRPr="006A13D8">
        <w:rPr>
          <w:rFonts w:ascii="Times New Roman" w:eastAsia="Times New Roman" w:hAnsi="Times New Roman" w:cs="Times New Roman"/>
          <w:sz w:val="24"/>
          <w:szCs w:val="24"/>
          <w:lang w:eastAsia="hu-HU"/>
        </w:rPr>
        <w:t>Úgy kell</w:t>
      </w:r>
      <w:r w:rsidRPr="006A13D8">
        <w:rPr>
          <w:rFonts w:ascii="Times New Roman" w:eastAsia="Times New Roman" w:hAnsi="Times New Roman" w:cs="Times New Roman"/>
          <w:sz w:val="24"/>
          <w:szCs w:val="24"/>
          <w:lang w:eastAsia="hu-HU"/>
        </w:rPr>
        <w:noBreakHyphen/>
        <w:t>e értelmezni a 2008/48 irányelv 3. cikkének m) pontjával összefüggésben értelmezett 10. cikkének (1) bekezdésében meghatározott »nyomtatott formában« és »más tartós adathordozón« fogalmát, hogy azok nemcsak a szerződő felek által aláírt dokumentumnak az irányelv 10. cikke (2) bekezdésének a)–v) pontjában előírt tartalmi elemeket (információkat) tartalmazó (fizikai) szövegét (»</w:t>
      </w:r>
      <w:proofErr w:type="spellStart"/>
      <w:r w:rsidRPr="006A13D8">
        <w:rPr>
          <w:rFonts w:ascii="Times New Roman" w:eastAsia="Times New Roman" w:hAnsi="Times New Roman" w:cs="Times New Roman"/>
          <w:sz w:val="24"/>
          <w:szCs w:val="24"/>
          <w:lang w:eastAsia="hu-HU"/>
        </w:rPr>
        <w:t>hard</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copy</w:t>
      </w:r>
      <w:proofErr w:type="spellEnd"/>
      <w:r w:rsidRPr="006A13D8">
        <w:rPr>
          <w:rFonts w:ascii="Times New Roman" w:eastAsia="Times New Roman" w:hAnsi="Times New Roman" w:cs="Times New Roman"/>
          <w:sz w:val="24"/>
          <w:szCs w:val="24"/>
          <w:lang w:eastAsia="hu-HU"/>
        </w:rPr>
        <w:t>«) foglalják magukban, hanem valamennyi egyéb olyan dokumentumot is, amelyre az említett szöveg hivatkozik, és amely a belső jog alapján a szerződéses megállapodás szerves részét képezi (például a hitelező</w:t>
      </w:r>
      <w:proofErr w:type="gramEnd"/>
      <w:r w:rsidRPr="006A13D8">
        <w:rPr>
          <w:rFonts w:ascii="Times New Roman" w:eastAsia="Times New Roman" w:hAnsi="Times New Roman" w:cs="Times New Roman"/>
          <w:sz w:val="24"/>
          <w:szCs w:val="24"/>
          <w:lang w:eastAsia="hu-HU"/>
        </w:rPr>
        <w:t xml:space="preserve"> </w:t>
      </w:r>
      <w:proofErr w:type="gramStart"/>
      <w:r w:rsidRPr="006A13D8">
        <w:rPr>
          <w:rFonts w:ascii="Times New Roman" w:eastAsia="Times New Roman" w:hAnsi="Times New Roman" w:cs="Times New Roman"/>
          <w:sz w:val="24"/>
          <w:szCs w:val="24"/>
          <w:lang w:eastAsia="hu-HU"/>
        </w:rPr>
        <w:t>által</w:t>
      </w:r>
      <w:proofErr w:type="gramEnd"/>
      <w:r w:rsidRPr="006A13D8">
        <w:rPr>
          <w:rFonts w:ascii="Times New Roman" w:eastAsia="Times New Roman" w:hAnsi="Times New Roman" w:cs="Times New Roman"/>
          <w:sz w:val="24"/>
          <w:szCs w:val="24"/>
          <w:lang w:eastAsia="hu-HU"/>
        </w:rPr>
        <w:t xml:space="preserve"> szerkesztett olyan dokumentum, amely »általános szerződési feltételeket«, »hitelfeltételeket«, »költséglistát«, »részletfizetési tervet« tartalmaz), még akkor is, ha e dokumentum önmagában nem felel meg az »írásbeli forma« követelményének a nemzeti jog alapján (például azért, mert azt a szerződő felek nem írták alá)?</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2)      Az első kérdésre adandó válasz fényében:</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Úgy kell</w:t>
      </w:r>
      <w:r w:rsidRPr="006A13D8">
        <w:rPr>
          <w:rFonts w:ascii="Times New Roman" w:eastAsia="Times New Roman" w:hAnsi="Times New Roman" w:cs="Times New Roman"/>
          <w:sz w:val="24"/>
          <w:szCs w:val="24"/>
          <w:lang w:eastAsia="hu-HU"/>
        </w:rPr>
        <w:noBreakHyphen/>
        <w:t>e értelmezni a 2008/48 irányelv 10. cikkének (1) és (2) bekezdését – annak 1. cikkével összefüggésben, amely szerint az irányelv a szóban forgó terület teljes harmonizációjára irányul –, hogy azzal ellentétes az olyan nemzeti szabályozás vagy gyakorlat, amely megköveteli, hogy a 10. cikk (2) bekezdésének a)–v) pontjában előírt valamennyi tartalmi elemet egyetlen olyan dokumentum tartalmazza, amely az érintett tagállam joga alapján megfelel az »írásbeli forma” követelményének (vagyis főszabály szerint a szerződő felek által aláírt dokumentum), és e nemzeti szabályozás vagy gyakorlat kizárólag</w:t>
      </w:r>
      <w:proofErr w:type="gramEnd"/>
      <w:r w:rsidRPr="006A13D8">
        <w:rPr>
          <w:rFonts w:ascii="Times New Roman" w:eastAsia="Times New Roman" w:hAnsi="Times New Roman" w:cs="Times New Roman"/>
          <w:sz w:val="24"/>
          <w:szCs w:val="24"/>
          <w:lang w:eastAsia="hu-HU"/>
        </w:rPr>
        <w:t xml:space="preserve"> </w:t>
      </w:r>
      <w:proofErr w:type="gramStart"/>
      <w:r w:rsidRPr="006A13D8">
        <w:rPr>
          <w:rFonts w:ascii="Times New Roman" w:eastAsia="Times New Roman" w:hAnsi="Times New Roman" w:cs="Times New Roman"/>
          <w:sz w:val="24"/>
          <w:szCs w:val="24"/>
          <w:lang w:eastAsia="hu-HU"/>
        </w:rPr>
        <w:t>azért nem tulajdonít a fogyasztói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megállapodásnak teljes joghatást, mert az aláírt dokumentum nem tartalmazza a megkövetelt tartalmi elemek egy részét, abban az esetben sem, ha ezeket az elemeket (részben vagy egészben) külön dokumentum tartalmazza (például a hitelező által szerkesztett olyan dokumentum, amely »általános szerződési feltételeket«, »hitelfeltételeket«, »költséglistát«, »részletfizetési tervet« tartalmaz), még akkor sem, ha maga az írásbeli szerződés hivatkozik erre a dokumentumra és az teljesíti a belső jog által a dokumentum szerződésbe foglalására vonatkozóan előírt feltételeket,</w:t>
      </w:r>
      <w:proofErr w:type="gramEnd"/>
      <w:r w:rsidRPr="006A13D8">
        <w:rPr>
          <w:rFonts w:ascii="Times New Roman" w:eastAsia="Times New Roman" w:hAnsi="Times New Roman" w:cs="Times New Roman"/>
          <w:sz w:val="24"/>
          <w:szCs w:val="24"/>
          <w:lang w:eastAsia="hu-HU"/>
        </w:rPr>
        <w:t xml:space="preserve"> </w:t>
      </w:r>
      <w:proofErr w:type="gramStart"/>
      <w:r w:rsidRPr="006A13D8">
        <w:rPr>
          <w:rFonts w:ascii="Times New Roman" w:eastAsia="Times New Roman" w:hAnsi="Times New Roman" w:cs="Times New Roman"/>
          <w:sz w:val="24"/>
          <w:szCs w:val="24"/>
          <w:lang w:eastAsia="hu-HU"/>
        </w:rPr>
        <w:t>és</w:t>
      </w:r>
      <w:proofErr w:type="gramEnd"/>
      <w:r w:rsidRPr="006A13D8">
        <w:rPr>
          <w:rFonts w:ascii="Times New Roman" w:eastAsia="Times New Roman" w:hAnsi="Times New Roman" w:cs="Times New Roman"/>
          <w:sz w:val="24"/>
          <w:szCs w:val="24"/>
          <w:lang w:eastAsia="hu-HU"/>
        </w:rPr>
        <w:t xml:space="preserve"> ily módon a megkötött fogyasztói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teljes egészében teljesíti a megállapodásnak az irányelv 10. cikke (1) bekezdése szerinti »más tartós adathordozón« történő elkészítésére vonatkozó követelményt?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3)      Úgy kell</w:t>
      </w:r>
      <w:r w:rsidRPr="006A13D8">
        <w:rPr>
          <w:rFonts w:ascii="Times New Roman" w:eastAsia="Times New Roman" w:hAnsi="Times New Roman" w:cs="Times New Roman"/>
          <w:sz w:val="24"/>
          <w:szCs w:val="24"/>
          <w:lang w:eastAsia="hu-HU"/>
        </w:rPr>
        <w:noBreakHyphen/>
        <w:t xml:space="preserve">e értelmezni a 2008/48 irányelv 10. cikke (2) bekezdésének h) pontját, hogy az e rendelkezésben megkövetelt adatokat (konkrétan: </w:t>
      </w:r>
      <w:proofErr w:type="gramStart"/>
      <w:r w:rsidRPr="006A13D8">
        <w:rPr>
          <w:rFonts w:ascii="Times New Roman" w:eastAsia="Times New Roman" w:hAnsi="Times New Roman" w:cs="Times New Roman"/>
          <w:sz w:val="24"/>
          <w:szCs w:val="24"/>
          <w:lang w:eastAsia="hu-HU"/>
        </w:rPr>
        <w:t>a »fizetések</w:t>
      </w:r>
      <w:proofErr w:type="gramEnd"/>
      <w:r w:rsidRPr="006A13D8">
        <w:rPr>
          <w:rFonts w:ascii="Times New Roman" w:eastAsia="Times New Roman" w:hAnsi="Times New Roman" w:cs="Times New Roman"/>
          <w:sz w:val="24"/>
          <w:szCs w:val="24"/>
          <w:lang w:eastAsia="hu-HU"/>
        </w:rPr>
        <w:t xml:space="preserve"> gyakoriságát«)</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lastRenderedPageBreak/>
        <w:t>–        a szóban forgó konkrét szerződés feltételei között kell egyedileg meghatározni (főszabály szerint az egyes részletek pontos lejárati dátumainak [év, hónap, nap] megjelölésével); vagy</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        elegendő, ha a szerződés olyan, objektív módon azonosítható paraméterekre történő általános hivatkozást tartalmaz, amelyekből ezen adatok kikövetkeztethetők (például egy olyan záradékkal, hogy »a havi részleteket minden egyes naptári hónap legkésőbb 15. napjáig kell megfizetni«, »az első részlet a szerződés aláírásától számított egy hónapon belül esedékes, és minden további részletet az előző havi törlesztő</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részlet lejártától számított egy hónapon belül kell megfizetni« vagy ehhez hasonló megfogalmazással)?</w:t>
      </w:r>
      <w:proofErr w:type="gramEnd"/>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4)      </w:t>
      </w:r>
      <w:proofErr w:type="gramStart"/>
      <w:r w:rsidRPr="006A13D8">
        <w:rPr>
          <w:rFonts w:ascii="Times New Roman" w:eastAsia="Times New Roman" w:hAnsi="Times New Roman" w:cs="Times New Roman"/>
          <w:sz w:val="24"/>
          <w:szCs w:val="24"/>
          <w:lang w:eastAsia="hu-HU"/>
        </w:rPr>
        <w:t>Amennyiben a harmadik kérdés második francia bekezdésében foglalt értelmezés a helyes értelmezés: Úgy kell</w:t>
      </w:r>
      <w:r w:rsidRPr="006A13D8">
        <w:rPr>
          <w:rFonts w:ascii="Times New Roman" w:eastAsia="Times New Roman" w:hAnsi="Times New Roman" w:cs="Times New Roman"/>
          <w:sz w:val="24"/>
          <w:szCs w:val="24"/>
          <w:lang w:eastAsia="hu-HU"/>
        </w:rPr>
        <w:noBreakHyphen/>
        <w:t>e értelmezni a 2008/48 irányelv 10. cikke (2) bekezdésének h) pontját, hogy az e rendelkezésben előírt adatot (konkrétan: a »fizetések gyakorisága«) egy olyan külön dokumentum is tartalmazhatja, amelyre az írásbeli forma követelményét teljesítő szerződés utal (az irányelv 10. cikkének (1) bekezdése értelmében), de amelynek önmagában nem kell ezt a követelményt teljesítenie (vagyis főszabály szerint azt a szerződő feleknek nem kell aláírniuk; például lehet az a hitelező által szerkesztett</w:t>
      </w:r>
      <w:proofErr w:type="gramEnd"/>
      <w:r w:rsidRPr="006A13D8">
        <w:rPr>
          <w:rFonts w:ascii="Times New Roman" w:eastAsia="Times New Roman" w:hAnsi="Times New Roman" w:cs="Times New Roman"/>
          <w:sz w:val="24"/>
          <w:szCs w:val="24"/>
          <w:lang w:eastAsia="hu-HU"/>
        </w:rPr>
        <w:t xml:space="preserve"> </w:t>
      </w:r>
      <w:proofErr w:type="gramStart"/>
      <w:r w:rsidRPr="006A13D8">
        <w:rPr>
          <w:rFonts w:ascii="Times New Roman" w:eastAsia="Times New Roman" w:hAnsi="Times New Roman" w:cs="Times New Roman"/>
          <w:sz w:val="24"/>
          <w:szCs w:val="24"/>
          <w:lang w:eastAsia="hu-HU"/>
        </w:rPr>
        <w:t>olyan</w:t>
      </w:r>
      <w:proofErr w:type="gramEnd"/>
      <w:r w:rsidRPr="006A13D8">
        <w:rPr>
          <w:rFonts w:ascii="Times New Roman" w:eastAsia="Times New Roman" w:hAnsi="Times New Roman" w:cs="Times New Roman"/>
          <w:sz w:val="24"/>
          <w:szCs w:val="24"/>
          <w:lang w:eastAsia="hu-HU"/>
        </w:rPr>
        <w:t xml:space="preserve"> dokumentum, amely »általános szerződési feltételeket«, »hitelfeltételeket«, »költséglistát«, »részletfizetési tervet« tartalmaz)?</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5)      Úgy kell</w:t>
      </w:r>
      <w:r w:rsidRPr="006A13D8">
        <w:rPr>
          <w:rFonts w:ascii="Times New Roman" w:eastAsia="Times New Roman" w:hAnsi="Times New Roman" w:cs="Times New Roman"/>
          <w:sz w:val="24"/>
          <w:szCs w:val="24"/>
          <w:lang w:eastAsia="hu-HU"/>
        </w:rPr>
        <w:noBreakHyphen/>
        <w:t>e értelmezni a 2008/48 irányelv 10. cikke (2) bekezdésének i) pontját [ugyanezen rendelkezés] h) pontjával összefüggésben, hogy</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        nem szükséges, hogy az olyan határozott idejű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amelyben a kölcsönadott tőke visszafizetésére/törlesztésére részletfizetés útján kerül sor, a megkötésekor tartalmazza az egyes részleteknek a kölcsönadott tőke visszafizetését, valamint a rendes kamatok és költségek megfizetését szolgáló részének pontos meghatározását (vagyis nem szükséges, hogy a részletes részletfizetési/törlesztési terv a szerződés szerves részét képezze), ezen adatok a hitelező által az adós kérésére bemutatott részletfizetési/törlesztési tervbe is belefoglalhatóak, vagy úgy, hogy</w:t>
      </w:r>
      <w:proofErr w:type="gramEnd"/>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gramStart"/>
      <w:r w:rsidRPr="006A13D8">
        <w:rPr>
          <w:rFonts w:ascii="Times New Roman" w:eastAsia="Times New Roman" w:hAnsi="Times New Roman" w:cs="Times New Roman"/>
          <w:sz w:val="24"/>
          <w:szCs w:val="24"/>
          <w:lang w:eastAsia="hu-HU"/>
        </w:rPr>
        <w:t>–        a 10. cikk (2) bekezdésének h) pontja az adósnak további jogot biztosít arra, hogy a törlesztési táblázatról kivonatot igényeljen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érvényességi ideje alatt egy konkrétan megjelölt napra vonatkozóan, mindazonáltal ez a jogosultság nem mentesíti a szerződő feleket azon kötelezettség alól, hogy már magában a szerződésben rögzítsék az egyes tervezett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alapján annak időtartama alatt megfizetendő) részleteknek a tőke, valamint a rendes kamatok és költségek törlesztésére történő bontását, a szóban forgó konkrét szerződésre szabott módon?</w:t>
      </w:r>
      <w:proofErr w:type="gramEnd"/>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6)      </w:t>
      </w:r>
      <w:proofErr w:type="gramStart"/>
      <w:r w:rsidRPr="006A13D8">
        <w:rPr>
          <w:rFonts w:ascii="Times New Roman" w:eastAsia="Times New Roman" w:hAnsi="Times New Roman" w:cs="Times New Roman"/>
          <w:sz w:val="24"/>
          <w:szCs w:val="24"/>
          <w:lang w:eastAsia="hu-HU"/>
        </w:rPr>
        <w:t>Amennyiben az ötödik kérdés első francia bekezdésében foglalt értelmezés a helyes értelmezés: Ez a kérdés a 2008/48 irányelv által elérendő teljes harmonizáció körébe tartozik</w:t>
      </w:r>
      <w:r w:rsidRPr="006A13D8">
        <w:rPr>
          <w:rFonts w:ascii="Times New Roman" w:eastAsia="Times New Roman" w:hAnsi="Times New Roman" w:cs="Times New Roman"/>
          <w:sz w:val="24"/>
          <w:szCs w:val="24"/>
          <w:lang w:eastAsia="hu-HU"/>
        </w:rPr>
        <w:noBreakHyphen/>
        <w:t>e oly módon, hogy a tagállam – az irányelv 22. cikkének (1) bekezdése értelmében – nem követelheti meg, hogy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tartalmazza az egyes részleteknek a kölcsönadott tőke visszafizetését szolgáló része, valamint a rendes kamatok és költségek megfizetését szolgáló része pontos meghatározását (vagyis, hogy a részletes részletfizetési/törlesztési terv a szerződés szerves részét képezze)?</w:t>
      </w:r>
      <w:proofErr w:type="gramEnd"/>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7)      </w:t>
      </w:r>
      <w:proofErr w:type="gramStart"/>
      <w:r w:rsidRPr="006A13D8">
        <w:rPr>
          <w:rFonts w:ascii="Times New Roman" w:eastAsia="Times New Roman" w:hAnsi="Times New Roman" w:cs="Times New Roman"/>
          <w:sz w:val="24"/>
          <w:szCs w:val="24"/>
          <w:lang w:eastAsia="hu-HU"/>
        </w:rPr>
        <w:t>Úgy kell</w:t>
      </w:r>
      <w:r w:rsidRPr="006A13D8">
        <w:rPr>
          <w:rFonts w:ascii="Times New Roman" w:eastAsia="Times New Roman" w:hAnsi="Times New Roman" w:cs="Times New Roman"/>
          <w:sz w:val="24"/>
          <w:szCs w:val="24"/>
          <w:lang w:eastAsia="hu-HU"/>
        </w:rPr>
        <w:noBreakHyphen/>
        <w:t xml:space="preserve">e értelmezni a 2008/48 irányelv 1. cikkében foglalt rendelkezést – amely szerint az irányelv a szóban forgó terület teljes harmonizációjára irányul –, illetve a </w:t>
      </w:r>
      <w:r w:rsidRPr="006A13D8">
        <w:rPr>
          <w:rFonts w:ascii="Times New Roman" w:eastAsia="Times New Roman" w:hAnsi="Times New Roman" w:cs="Times New Roman"/>
          <w:sz w:val="24"/>
          <w:szCs w:val="24"/>
          <w:lang w:eastAsia="hu-HU"/>
        </w:rPr>
        <w:lastRenderedPageBreak/>
        <w:t>23. cikkében foglalt rendelkezést – amely szerint a szankcióknak arányosaknak kell lenniük –, hogy az említett irányelvvel ellentétes az a nemzeti jogi rendelkezés, amelynek értelmében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megállapodásnak a 2008/48 irányelv 10. cikke (2) bekezdésében előírt tartalmi elemei többségének hiánya azt eredményezi, hogy a nyújtott hitelt kamat</w:t>
      </w:r>
      <w:r w:rsidRPr="006A13D8">
        <w:rPr>
          <w:rFonts w:ascii="Times New Roman" w:eastAsia="Times New Roman" w:hAnsi="Times New Roman" w:cs="Times New Roman"/>
          <w:sz w:val="24"/>
          <w:szCs w:val="24"/>
          <w:lang w:eastAsia="hu-HU"/>
        </w:rPr>
        <w:noBreakHyphen/>
        <w:t xml:space="preserve"> és költségmentesnek kell tekinteni, és ily módon az adós kizárólag a szerződés alapján</w:t>
      </w:r>
      <w:proofErr w:type="gramEnd"/>
      <w:r w:rsidRPr="006A13D8">
        <w:rPr>
          <w:rFonts w:ascii="Times New Roman" w:eastAsia="Times New Roman" w:hAnsi="Times New Roman" w:cs="Times New Roman"/>
          <w:sz w:val="24"/>
          <w:szCs w:val="24"/>
          <w:lang w:eastAsia="hu-HU"/>
        </w:rPr>
        <w:t xml:space="preserve"> </w:t>
      </w:r>
      <w:proofErr w:type="gramStart"/>
      <w:r w:rsidRPr="006A13D8">
        <w:rPr>
          <w:rFonts w:ascii="Times New Roman" w:eastAsia="Times New Roman" w:hAnsi="Times New Roman" w:cs="Times New Roman"/>
          <w:sz w:val="24"/>
          <w:szCs w:val="24"/>
          <w:lang w:eastAsia="hu-HU"/>
        </w:rPr>
        <w:t>kapott</w:t>
      </w:r>
      <w:proofErr w:type="gramEnd"/>
      <w:r w:rsidRPr="006A13D8">
        <w:rPr>
          <w:rFonts w:ascii="Times New Roman" w:eastAsia="Times New Roman" w:hAnsi="Times New Roman" w:cs="Times New Roman"/>
          <w:sz w:val="24"/>
          <w:szCs w:val="24"/>
          <w:lang w:eastAsia="hu-HU"/>
        </w:rPr>
        <w:t xml:space="preserve"> tőkét köteles a hitelező részére visszafizetni?”</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b/>
          <w:bCs/>
          <w:sz w:val="24"/>
          <w:szCs w:val="24"/>
          <w:lang w:eastAsia="hu-HU"/>
        </w:rPr>
        <w:t>Az előzetes döntéshozatalra előterjesztett kérdésekről</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i/>
          <w:iCs/>
          <w:sz w:val="24"/>
          <w:szCs w:val="24"/>
          <w:lang w:eastAsia="hu-HU"/>
        </w:rPr>
        <w:t>Az első és a második kérdésről</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29" w:name="point28"/>
      <w:r w:rsidRPr="006A13D8">
        <w:rPr>
          <w:rFonts w:ascii="Times New Roman" w:eastAsia="Times New Roman" w:hAnsi="Times New Roman" w:cs="Times New Roman"/>
          <w:sz w:val="24"/>
          <w:szCs w:val="24"/>
          <w:lang w:eastAsia="hu-HU"/>
        </w:rPr>
        <w:t>28</w:t>
      </w:r>
      <w:bookmarkEnd w:id="29"/>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Az együttesen vizsgálandó első és második kérdésével a kérdést előterjesztő bíróság lényegében arra vár választ, hogy a 2008/48 irányelv 10. cikkének (1) és (2) bekezdését – ezen irányelv 3. cikkének m) pontjával összefüggésben – úgy kell</w:t>
      </w:r>
      <w:r w:rsidRPr="006A13D8">
        <w:rPr>
          <w:rFonts w:ascii="Times New Roman" w:eastAsia="Times New Roman" w:hAnsi="Times New Roman" w:cs="Times New Roman"/>
          <w:sz w:val="24"/>
          <w:szCs w:val="24"/>
          <w:lang w:eastAsia="hu-HU"/>
        </w:rPr>
        <w:noBreakHyphen/>
        <w:t>e értelmezni, hogy először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ezen irányelv 10. cikkének (2) bekezdésében említett összes tartalmi elemének egyetlen dokumentumban kell szerepelnie, másodszor a nyomtatott formában elkészített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megállapodást a feleknek alá kell írniuk, harmadszor pedig az aláírásra vonatkozó ezen követelmény az ilyen megállapodás összes tartalmi elemére</w:t>
      </w:r>
      <w:proofErr w:type="gramEnd"/>
      <w:r w:rsidRPr="006A13D8">
        <w:rPr>
          <w:rFonts w:ascii="Times New Roman" w:eastAsia="Times New Roman" w:hAnsi="Times New Roman" w:cs="Times New Roman"/>
          <w:sz w:val="24"/>
          <w:szCs w:val="24"/>
          <w:lang w:eastAsia="hu-HU"/>
        </w:rPr>
        <w:t xml:space="preserve"> </w:t>
      </w:r>
      <w:proofErr w:type="gramStart"/>
      <w:r w:rsidRPr="006A13D8">
        <w:rPr>
          <w:rFonts w:ascii="Times New Roman" w:eastAsia="Times New Roman" w:hAnsi="Times New Roman" w:cs="Times New Roman"/>
          <w:sz w:val="24"/>
          <w:szCs w:val="24"/>
          <w:lang w:eastAsia="hu-HU"/>
        </w:rPr>
        <w:t>alkalmazandó</w:t>
      </w:r>
      <w:proofErr w:type="gramEnd"/>
      <w:r w:rsidRPr="006A13D8">
        <w:rPr>
          <w:rFonts w:ascii="Times New Roman" w:eastAsia="Times New Roman" w:hAnsi="Times New Roman" w:cs="Times New Roman"/>
          <w:sz w:val="24"/>
          <w:szCs w:val="24"/>
          <w:lang w:eastAsia="hu-HU"/>
        </w:rPr>
        <w: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30" w:name="point29"/>
      <w:r w:rsidRPr="006A13D8">
        <w:rPr>
          <w:rFonts w:ascii="Times New Roman" w:eastAsia="Times New Roman" w:hAnsi="Times New Roman" w:cs="Times New Roman"/>
          <w:sz w:val="24"/>
          <w:szCs w:val="24"/>
          <w:lang w:eastAsia="hu-HU"/>
        </w:rPr>
        <w:t>29</w:t>
      </w:r>
      <w:bookmarkEnd w:id="30"/>
      <w:r w:rsidRPr="006A13D8">
        <w:rPr>
          <w:rFonts w:ascii="Times New Roman" w:eastAsia="Times New Roman" w:hAnsi="Times New Roman" w:cs="Times New Roman"/>
          <w:sz w:val="24"/>
          <w:szCs w:val="24"/>
          <w:lang w:eastAsia="hu-HU"/>
        </w:rPr>
        <w:t xml:space="preserve">      E tekintetben először is emlékeztetni kell arra, hogy a 2008/48 irányelv 10. cikke (1) bekezdésének első </w:t>
      </w:r>
      <w:proofErr w:type="spellStart"/>
      <w:r w:rsidRPr="006A13D8">
        <w:rPr>
          <w:rFonts w:ascii="Times New Roman" w:eastAsia="Times New Roman" w:hAnsi="Times New Roman" w:cs="Times New Roman"/>
          <w:sz w:val="24"/>
          <w:szCs w:val="24"/>
          <w:lang w:eastAsia="hu-HU"/>
        </w:rPr>
        <w:t>albekezdése</w:t>
      </w:r>
      <w:proofErr w:type="spellEnd"/>
      <w:r w:rsidRPr="006A13D8">
        <w:rPr>
          <w:rFonts w:ascii="Times New Roman" w:eastAsia="Times New Roman" w:hAnsi="Times New Roman" w:cs="Times New Roman"/>
          <w:sz w:val="24"/>
          <w:szCs w:val="24"/>
          <w:lang w:eastAsia="hu-HU"/>
        </w:rPr>
        <w:t xml:space="preserve"> értelmében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megállapodásokat nyomtatott formában vagy más tartós adathordozón kell elkészíteni.</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31" w:name="point30"/>
      <w:r w:rsidRPr="006A13D8">
        <w:rPr>
          <w:rFonts w:ascii="Times New Roman" w:eastAsia="Times New Roman" w:hAnsi="Times New Roman" w:cs="Times New Roman"/>
          <w:sz w:val="24"/>
          <w:szCs w:val="24"/>
          <w:lang w:eastAsia="hu-HU"/>
        </w:rPr>
        <w:t>30</w:t>
      </w:r>
      <w:bookmarkEnd w:id="31"/>
      <w:r w:rsidRPr="006A13D8">
        <w:rPr>
          <w:rFonts w:ascii="Times New Roman" w:eastAsia="Times New Roman" w:hAnsi="Times New Roman" w:cs="Times New Roman"/>
          <w:sz w:val="24"/>
          <w:szCs w:val="24"/>
          <w:lang w:eastAsia="hu-HU"/>
        </w:rPr>
        <w:t>      Ebben az irányelvben azonban semmi nem jelzi azt, hogy az e rendelkezésben említett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 elkészítésére egyetlen dokumentumban kerüljön sor.</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32" w:name="point31"/>
      <w:r w:rsidRPr="006A13D8">
        <w:rPr>
          <w:rFonts w:ascii="Times New Roman" w:eastAsia="Times New Roman" w:hAnsi="Times New Roman" w:cs="Times New Roman"/>
          <w:sz w:val="24"/>
          <w:szCs w:val="24"/>
          <w:lang w:eastAsia="hu-HU"/>
        </w:rPr>
        <w:t>31</w:t>
      </w:r>
      <w:bookmarkEnd w:id="32"/>
      <w:r w:rsidRPr="006A13D8">
        <w:rPr>
          <w:rFonts w:ascii="Times New Roman" w:eastAsia="Times New Roman" w:hAnsi="Times New Roman" w:cs="Times New Roman"/>
          <w:sz w:val="24"/>
          <w:szCs w:val="24"/>
          <w:lang w:eastAsia="hu-HU"/>
        </w:rPr>
        <w:t>      Amint az a 2008/48 irányelv (31) preambulum</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 xml:space="preserve">bekezdésének tükrében értelmezett 10. cikkének (2) bekezdéséből kitűnik, az a követelmény, hogy az </w:t>
      </w:r>
      <w:proofErr w:type="gramStart"/>
      <w:r w:rsidRPr="006A13D8">
        <w:rPr>
          <w:rFonts w:ascii="Times New Roman" w:eastAsia="Times New Roman" w:hAnsi="Times New Roman" w:cs="Times New Roman"/>
          <w:sz w:val="24"/>
          <w:szCs w:val="24"/>
          <w:lang w:eastAsia="hu-HU"/>
        </w:rPr>
        <w:t>ezen</w:t>
      </w:r>
      <w:proofErr w:type="gramEnd"/>
      <w:r w:rsidRPr="006A13D8">
        <w:rPr>
          <w:rFonts w:ascii="Times New Roman" w:eastAsia="Times New Roman" w:hAnsi="Times New Roman" w:cs="Times New Roman"/>
          <w:sz w:val="24"/>
          <w:szCs w:val="24"/>
          <w:lang w:eastAsia="hu-HU"/>
        </w:rPr>
        <w:t xml:space="preserve"> rendelkezésben említett tartalmi elemek világos és egyértelmű módon kerüljenek a nyomtatott formában vagy más tartós adathordozón elkészített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megállapodásban feltüntetésre, annak érdekében szükséges, hogy a fogyasztó megismerhesse jogait és kötelezettségeit.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33" w:name="point32"/>
      <w:r w:rsidRPr="006A13D8">
        <w:rPr>
          <w:rFonts w:ascii="Times New Roman" w:eastAsia="Times New Roman" w:hAnsi="Times New Roman" w:cs="Times New Roman"/>
          <w:sz w:val="24"/>
          <w:szCs w:val="24"/>
          <w:lang w:eastAsia="hu-HU"/>
        </w:rPr>
        <w:t>32</w:t>
      </w:r>
      <w:bookmarkEnd w:id="33"/>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Ez a követelmény hozzájárul a 2008/48 irányelv által követett cél megvalósításához, amely teljes és kötelező harmonizáció előírása a fogyasztói hitelek tárgyában számos kulcsfontosságú területen, amire az Unióban valamennyi fogyasztó érdekei magas szinten és egyenlő módon való védelmezésének biztosítása, valamint a fogyasztói hitelek jól működő belső piaca kialakulásának megkönnyítése céljából van szükség (lásd ebben az értelemben: 2016. április 21</w:t>
      </w:r>
      <w:r w:rsidRPr="006A13D8">
        <w:rPr>
          <w:rFonts w:ascii="Times New Roman" w:eastAsia="Times New Roman" w:hAnsi="Times New Roman" w:cs="Times New Roman"/>
          <w:sz w:val="24"/>
          <w:szCs w:val="24"/>
          <w:lang w:eastAsia="hu-HU"/>
        </w:rPr>
        <w:noBreakHyphen/>
        <w:t xml:space="preserve">i </w:t>
      </w:r>
      <w:proofErr w:type="spellStart"/>
      <w:r w:rsidRPr="006A13D8">
        <w:rPr>
          <w:rFonts w:ascii="Times New Roman" w:eastAsia="Times New Roman" w:hAnsi="Times New Roman" w:cs="Times New Roman"/>
          <w:sz w:val="24"/>
          <w:szCs w:val="24"/>
          <w:lang w:eastAsia="hu-HU"/>
        </w:rPr>
        <w:t>Radlinger</w:t>
      </w:r>
      <w:proofErr w:type="spellEnd"/>
      <w:r w:rsidRPr="006A13D8">
        <w:rPr>
          <w:rFonts w:ascii="Times New Roman" w:eastAsia="Times New Roman" w:hAnsi="Times New Roman" w:cs="Times New Roman"/>
          <w:sz w:val="24"/>
          <w:szCs w:val="24"/>
          <w:lang w:eastAsia="hu-HU"/>
        </w:rPr>
        <w:t xml:space="preserve"> és </w:t>
      </w:r>
      <w:proofErr w:type="spellStart"/>
      <w:r w:rsidRPr="006A13D8">
        <w:rPr>
          <w:rFonts w:ascii="Times New Roman" w:eastAsia="Times New Roman" w:hAnsi="Times New Roman" w:cs="Times New Roman"/>
          <w:sz w:val="24"/>
          <w:szCs w:val="24"/>
          <w:lang w:eastAsia="hu-HU"/>
        </w:rPr>
        <w:t>Radlingerová</w:t>
      </w:r>
      <w:proofErr w:type="spellEnd"/>
      <w:r w:rsidRPr="006A13D8">
        <w:rPr>
          <w:rFonts w:ascii="Times New Roman" w:eastAsia="Times New Roman" w:hAnsi="Times New Roman" w:cs="Times New Roman"/>
          <w:sz w:val="24"/>
          <w:szCs w:val="24"/>
          <w:lang w:eastAsia="hu-HU"/>
        </w:rPr>
        <w:t xml:space="preserve"> ítélet, C</w:t>
      </w:r>
      <w:r w:rsidRPr="006A13D8">
        <w:rPr>
          <w:rFonts w:ascii="Times New Roman" w:eastAsia="Times New Roman" w:hAnsi="Times New Roman" w:cs="Times New Roman"/>
          <w:sz w:val="24"/>
          <w:szCs w:val="24"/>
          <w:lang w:eastAsia="hu-HU"/>
        </w:rPr>
        <w:noBreakHyphen/>
        <w:t>377/14, EU:C:2016:283, 61. pont).</w:t>
      </w:r>
      <w:proofErr w:type="gramEnd"/>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34" w:name="point33"/>
      <w:r w:rsidRPr="006A13D8">
        <w:rPr>
          <w:rFonts w:ascii="Times New Roman" w:eastAsia="Times New Roman" w:hAnsi="Times New Roman" w:cs="Times New Roman"/>
          <w:sz w:val="24"/>
          <w:szCs w:val="24"/>
          <w:lang w:eastAsia="hu-HU"/>
        </w:rPr>
        <w:t>33</w:t>
      </w:r>
      <w:bookmarkEnd w:id="34"/>
      <w:r w:rsidRPr="006A13D8">
        <w:rPr>
          <w:rFonts w:ascii="Times New Roman" w:eastAsia="Times New Roman" w:hAnsi="Times New Roman" w:cs="Times New Roman"/>
          <w:sz w:val="24"/>
          <w:szCs w:val="24"/>
          <w:lang w:eastAsia="hu-HU"/>
        </w:rPr>
        <w:t>      Jóllehet e célkitűzésre tekintettel nem szükségszerű, hogy a 2008/48 irányelv 10. cikkének (2) bekezdésében említett összes tartalmi elem egyetlen dokumentumba kerüljön, meg kell jegyezni, hogy e cikk (1) bekezdésére tekintettel az ezen (2) bekezdésben felsorolt összes tartalmi elemet nyomtatott formában vagy más tartós adathordozón kell elkészíteni, és azoknak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szerves részét kell képezniük.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35" w:name="point34"/>
      <w:r w:rsidRPr="006A13D8">
        <w:rPr>
          <w:rFonts w:ascii="Times New Roman" w:eastAsia="Times New Roman" w:hAnsi="Times New Roman" w:cs="Times New Roman"/>
          <w:sz w:val="24"/>
          <w:szCs w:val="24"/>
          <w:lang w:eastAsia="hu-HU"/>
        </w:rPr>
        <w:t>34</w:t>
      </w:r>
      <w:bookmarkEnd w:id="35"/>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Mivel a 2008/48 irányelv 10. cikkének (2) bekezdésében említett tartalmi elemeket világos és egyértelmű módon kell feltüntetni, szükségszerű – amint azt lényegében a főtanácsnok indítványának 52. pontjában kiemelte –, hogy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 xml:space="preserve">megállapodás egyértelmű és pontos kereszthivatkozásokat tartalmazzon az ezen tartalmi elemeket magában foglaló többi nyomtatott formára vagy más tartós adathordozóra, amelyeket a megállapodás megkötése </w:t>
      </w:r>
      <w:r w:rsidRPr="006A13D8">
        <w:rPr>
          <w:rFonts w:ascii="Times New Roman" w:eastAsia="Times New Roman" w:hAnsi="Times New Roman" w:cs="Times New Roman"/>
          <w:sz w:val="24"/>
          <w:szCs w:val="24"/>
          <w:lang w:eastAsia="hu-HU"/>
        </w:rPr>
        <w:lastRenderedPageBreak/>
        <w:t>előtt ténylegesen átadtak a fogyasztónak oly módon, hogy az lehetővé tegye számára, hogy ténylegesen megismerje valamennyi jogát és kötelezettségét.</w:t>
      </w:r>
      <w:proofErr w:type="gramEnd"/>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36" w:name="point35"/>
      <w:r w:rsidRPr="006A13D8">
        <w:rPr>
          <w:rFonts w:ascii="Times New Roman" w:eastAsia="Times New Roman" w:hAnsi="Times New Roman" w:cs="Times New Roman"/>
          <w:sz w:val="24"/>
          <w:szCs w:val="24"/>
          <w:lang w:eastAsia="hu-HU"/>
        </w:rPr>
        <w:t>35</w:t>
      </w:r>
      <w:bookmarkEnd w:id="36"/>
      <w:r w:rsidRPr="006A13D8">
        <w:rPr>
          <w:rFonts w:ascii="Times New Roman" w:eastAsia="Times New Roman" w:hAnsi="Times New Roman" w:cs="Times New Roman"/>
          <w:sz w:val="24"/>
          <w:szCs w:val="24"/>
          <w:lang w:eastAsia="hu-HU"/>
        </w:rPr>
        <w:t>      A Bíróság ugyanis többek között a 2008/48 irányelv 3. cikkének m) pontjában szereplő, „tartós adathordozó” fogalom</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 xml:space="preserve">meghatározására hivatkozva úgy ítélte meg, hogy ennek az adathordozónak a nyomtatott formához hasonlóan kell biztosítania a fogyasztónak az érintett információk ismeretét, annak érdekében, hogy adott esetben érvényesíthesse a jogait. </w:t>
      </w:r>
      <w:proofErr w:type="gramStart"/>
      <w:r w:rsidRPr="006A13D8">
        <w:rPr>
          <w:rFonts w:ascii="Times New Roman" w:eastAsia="Times New Roman" w:hAnsi="Times New Roman" w:cs="Times New Roman"/>
          <w:sz w:val="24"/>
          <w:szCs w:val="24"/>
          <w:lang w:eastAsia="hu-HU"/>
        </w:rPr>
        <w:t>E tekintetben releváns a fogyasztó számára a személyesen neki címzett információk tárolásának lehetősége, annak a biztosítása, hogy azok tartalmát nem módosítják, valamint hogy megfelelő időtartamon keresztül hozzáférhetők maradjanak, és az a lehetőség, hogy az információkat egy az egyben reprodukálják (lásd ebben az értelemben a távollevők között kötött szerződések esetén a fogyasztók védelméről szóló, 1997. május 20</w:t>
      </w:r>
      <w:r w:rsidRPr="006A13D8">
        <w:rPr>
          <w:rFonts w:ascii="Times New Roman" w:eastAsia="Times New Roman" w:hAnsi="Times New Roman" w:cs="Times New Roman"/>
          <w:sz w:val="24"/>
          <w:szCs w:val="24"/>
          <w:lang w:eastAsia="hu-HU"/>
        </w:rPr>
        <w:noBreakHyphen/>
        <w:t>i 97/7/EK európai parlamenti és tanácsi irányelvet [HL 1997. L 144., 19. o.; magyar nyelvű különkiadás 15. fejezet, 3. kötet, 319. o.] illetően: 2012. július 5</w:t>
      </w:r>
      <w:r w:rsidRPr="006A13D8">
        <w:rPr>
          <w:rFonts w:ascii="Times New Roman" w:eastAsia="Times New Roman" w:hAnsi="Times New Roman" w:cs="Times New Roman"/>
          <w:sz w:val="24"/>
          <w:szCs w:val="24"/>
          <w:lang w:eastAsia="hu-HU"/>
        </w:rPr>
        <w:noBreakHyphen/>
        <w:t xml:space="preserve">i </w:t>
      </w:r>
      <w:proofErr w:type="spellStart"/>
      <w:r w:rsidRPr="006A13D8">
        <w:rPr>
          <w:rFonts w:ascii="Times New Roman" w:eastAsia="Times New Roman" w:hAnsi="Times New Roman" w:cs="Times New Roman"/>
          <w:sz w:val="24"/>
          <w:szCs w:val="24"/>
          <w:lang w:eastAsia="hu-HU"/>
        </w:rPr>
        <w:t>Content</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Services</w:t>
      </w:r>
      <w:proofErr w:type="spellEnd"/>
      <w:proofErr w:type="gramEnd"/>
      <w:r w:rsidRPr="006A13D8">
        <w:rPr>
          <w:rFonts w:ascii="Times New Roman" w:eastAsia="Times New Roman" w:hAnsi="Times New Roman" w:cs="Times New Roman"/>
          <w:sz w:val="24"/>
          <w:szCs w:val="24"/>
          <w:lang w:eastAsia="hu-HU"/>
        </w:rPr>
        <w:t xml:space="preserve"> </w:t>
      </w:r>
      <w:proofErr w:type="gramStart"/>
      <w:r w:rsidRPr="006A13D8">
        <w:rPr>
          <w:rFonts w:ascii="Times New Roman" w:eastAsia="Times New Roman" w:hAnsi="Times New Roman" w:cs="Times New Roman"/>
          <w:sz w:val="24"/>
          <w:szCs w:val="24"/>
          <w:lang w:eastAsia="hu-HU"/>
        </w:rPr>
        <w:t>ítélet</w:t>
      </w:r>
      <w:proofErr w:type="gramEnd"/>
      <w:r w:rsidRPr="006A13D8">
        <w:rPr>
          <w:rFonts w:ascii="Times New Roman" w:eastAsia="Times New Roman" w:hAnsi="Times New Roman" w:cs="Times New Roman"/>
          <w:sz w:val="24"/>
          <w:szCs w:val="24"/>
          <w:lang w:eastAsia="hu-HU"/>
        </w:rPr>
        <w:t>, C</w:t>
      </w:r>
      <w:r w:rsidRPr="006A13D8">
        <w:rPr>
          <w:rFonts w:ascii="Times New Roman" w:eastAsia="Times New Roman" w:hAnsi="Times New Roman" w:cs="Times New Roman"/>
          <w:sz w:val="24"/>
          <w:szCs w:val="24"/>
          <w:lang w:eastAsia="hu-HU"/>
        </w:rPr>
        <w:noBreakHyphen/>
        <w:t>49/11, EU:C:2012:419, 42–44. pont).</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37" w:name="point36"/>
      <w:r w:rsidRPr="006A13D8">
        <w:rPr>
          <w:rFonts w:ascii="Times New Roman" w:eastAsia="Times New Roman" w:hAnsi="Times New Roman" w:cs="Times New Roman"/>
          <w:sz w:val="24"/>
          <w:szCs w:val="24"/>
          <w:lang w:eastAsia="hu-HU"/>
        </w:rPr>
        <w:t>36</w:t>
      </w:r>
      <w:bookmarkEnd w:id="37"/>
      <w:r w:rsidRPr="006A13D8">
        <w:rPr>
          <w:rFonts w:ascii="Times New Roman" w:eastAsia="Times New Roman" w:hAnsi="Times New Roman" w:cs="Times New Roman"/>
          <w:sz w:val="24"/>
          <w:szCs w:val="24"/>
          <w:lang w:eastAsia="hu-HU"/>
        </w:rPr>
        <w:t>      Másodszor azt a kérdést illetően, hogy a nyomtatott formában elkészített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megállapodást a feleknek alá kell</w:t>
      </w:r>
      <w:r w:rsidRPr="006A13D8">
        <w:rPr>
          <w:rFonts w:ascii="Times New Roman" w:eastAsia="Times New Roman" w:hAnsi="Times New Roman" w:cs="Times New Roman"/>
          <w:sz w:val="24"/>
          <w:szCs w:val="24"/>
          <w:lang w:eastAsia="hu-HU"/>
        </w:rPr>
        <w:noBreakHyphen/>
        <w:t xml:space="preserve">e írniuk az érintett tagállam jogában előírtaknak megfelelően, meg kell állapítani, hogy a 2008/48 irányelv 10. cikke (1) bekezdésének első </w:t>
      </w:r>
      <w:proofErr w:type="spellStart"/>
      <w:r w:rsidRPr="006A13D8">
        <w:rPr>
          <w:rFonts w:ascii="Times New Roman" w:eastAsia="Times New Roman" w:hAnsi="Times New Roman" w:cs="Times New Roman"/>
          <w:sz w:val="24"/>
          <w:szCs w:val="24"/>
          <w:lang w:eastAsia="hu-HU"/>
        </w:rPr>
        <w:t>albekezdése</w:t>
      </w:r>
      <w:proofErr w:type="spellEnd"/>
      <w:r w:rsidRPr="006A13D8">
        <w:rPr>
          <w:rFonts w:ascii="Times New Roman" w:eastAsia="Times New Roman" w:hAnsi="Times New Roman" w:cs="Times New Roman"/>
          <w:sz w:val="24"/>
          <w:szCs w:val="24"/>
          <w:lang w:eastAsia="hu-HU"/>
        </w:rPr>
        <w:t xml:space="preserve"> egyáltalán nem utal a nemzeti jogra, következésképpen pedig az </w:t>
      </w:r>
      <w:proofErr w:type="gramStart"/>
      <w:r w:rsidRPr="006A13D8">
        <w:rPr>
          <w:rFonts w:ascii="Times New Roman" w:eastAsia="Times New Roman" w:hAnsi="Times New Roman" w:cs="Times New Roman"/>
          <w:sz w:val="24"/>
          <w:szCs w:val="24"/>
          <w:lang w:eastAsia="hu-HU"/>
        </w:rPr>
        <w:t>ezen</w:t>
      </w:r>
      <w:proofErr w:type="gramEnd"/>
      <w:r w:rsidRPr="006A13D8">
        <w:rPr>
          <w:rFonts w:ascii="Times New Roman" w:eastAsia="Times New Roman" w:hAnsi="Times New Roman" w:cs="Times New Roman"/>
          <w:sz w:val="24"/>
          <w:szCs w:val="24"/>
          <w:lang w:eastAsia="hu-HU"/>
        </w:rPr>
        <w:t xml:space="preserve"> rendelkezésben említett „nyomtatott forma” és „tartós adathordozó” fogalmak önálló hatállyal rendelkeznek. Értelmezésük nem határozható meg az olyan alakiságokra vonatkozó nemzeti rendelkezésekkel, amelyek alapján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megállapodásokat el kell készíteni.</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38" w:name="point37"/>
      <w:r w:rsidRPr="006A13D8">
        <w:rPr>
          <w:rFonts w:ascii="Times New Roman" w:eastAsia="Times New Roman" w:hAnsi="Times New Roman" w:cs="Times New Roman"/>
          <w:sz w:val="24"/>
          <w:szCs w:val="24"/>
          <w:lang w:eastAsia="hu-HU"/>
        </w:rPr>
        <w:t>37</w:t>
      </w:r>
      <w:bookmarkEnd w:id="38"/>
      <w:r w:rsidRPr="006A13D8">
        <w:rPr>
          <w:rFonts w:ascii="Times New Roman" w:eastAsia="Times New Roman" w:hAnsi="Times New Roman" w:cs="Times New Roman"/>
          <w:sz w:val="24"/>
          <w:szCs w:val="24"/>
          <w:lang w:eastAsia="hu-HU"/>
        </w:rPr>
        <w:t>      Ugyan a „nyomtatott forma” fogalma ezen irányelvben nem került meghatározásra, az irányelv 3. cikkének m) pontjában előírja, hogy a „tartós adathordozó” olyan eszközt jelöl, amely lehetővé teszi a fogyasztó számára a személyesen neki címzett adatoknak a jövőben is hozzáférhető módon és az adat céljának megfelelő ideig történő tárolását, valamint a tárolt adatok változatlan formában történő megjelenítését.</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39" w:name="point38"/>
      <w:r w:rsidRPr="006A13D8">
        <w:rPr>
          <w:rFonts w:ascii="Times New Roman" w:eastAsia="Times New Roman" w:hAnsi="Times New Roman" w:cs="Times New Roman"/>
          <w:sz w:val="24"/>
          <w:szCs w:val="24"/>
          <w:lang w:eastAsia="hu-HU"/>
        </w:rPr>
        <w:t>38</w:t>
      </w:r>
      <w:bookmarkEnd w:id="39"/>
      <w:r w:rsidRPr="006A13D8">
        <w:rPr>
          <w:rFonts w:ascii="Times New Roman" w:eastAsia="Times New Roman" w:hAnsi="Times New Roman" w:cs="Times New Roman"/>
          <w:sz w:val="24"/>
          <w:szCs w:val="24"/>
          <w:lang w:eastAsia="hu-HU"/>
        </w:rPr>
        <w:t>      A 2008/48 irányelv 10. cikke (1) bekezdésének magából a szövegéből kitűnik, hogy a „nyomtatott forma” fogalma azzal az eszközre utal, amelyen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elkészítésre került, anélkül hogy az ilyen adathordozón az aláírás megkövetelt lenne. Mindamellett a kérdést előterjesztő bíróság konkrétabban az kívánja megtudni, hogy ezzel az irányelvvel ellentétes</w:t>
      </w:r>
      <w:r w:rsidRPr="006A13D8">
        <w:rPr>
          <w:rFonts w:ascii="Times New Roman" w:eastAsia="Times New Roman" w:hAnsi="Times New Roman" w:cs="Times New Roman"/>
          <w:sz w:val="24"/>
          <w:szCs w:val="24"/>
          <w:lang w:eastAsia="hu-HU"/>
        </w:rPr>
        <w:noBreakHyphen/>
        <w:t>e az, hogy a tagállam nemzeti szabályozásában ilyen követelményt ír elő.</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40" w:name="point39"/>
      <w:r w:rsidRPr="006A13D8">
        <w:rPr>
          <w:rFonts w:ascii="Times New Roman" w:eastAsia="Times New Roman" w:hAnsi="Times New Roman" w:cs="Times New Roman"/>
          <w:sz w:val="24"/>
          <w:szCs w:val="24"/>
          <w:lang w:eastAsia="hu-HU"/>
        </w:rPr>
        <w:t>39</w:t>
      </w:r>
      <w:bookmarkEnd w:id="40"/>
      <w:r w:rsidRPr="006A13D8">
        <w:rPr>
          <w:rFonts w:ascii="Times New Roman" w:eastAsia="Times New Roman" w:hAnsi="Times New Roman" w:cs="Times New Roman"/>
          <w:sz w:val="24"/>
          <w:szCs w:val="24"/>
          <w:lang w:eastAsia="hu-HU"/>
        </w:rPr>
        <w:t xml:space="preserve">      E tekintetben emlékeztetni kell arra, hogy a 2008/48 irányelv 10. cikke (1) bekezdésének második </w:t>
      </w:r>
      <w:proofErr w:type="spellStart"/>
      <w:r w:rsidRPr="006A13D8">
        <w:rPr>
          <w:rFonts w:ascii="Times New Roman" w:eastAsia="Times New Roman" w:hAnsi="Times New Roman" w:cs="Times New Roman"/>
          <w:sz w:val="24"/>
          <w:szCs w:val="24"/>
          <w:lang w:eastAsia="hu-HU"/>
        </w:rPr>
        <w:t>albekezdése</w:t>
      </w:r>
      <w:proofErr w:type="spellEnd"/>
      <w:r w:rsidRPr="006A13D8">
        <w:rPr>
          <w:rFonts w:ascii="Times New Roman" w:eastAsia="Times New Roman" w:hAnsi="Times New Roman" w:cs="Times New Roman"/>
          <w:sz w:val="24"/>
          <w:szCs w:val="24"/>
          <w:lang w:eastAsia="hu-HU"/>
        </w:rPr>
        <w:t xml:space="preserve"> értelmében ez a cikk nem érinti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 megkötésének érvényességére vonatkozó, az uniós joggal összhangban álló nemzeti rendelkezéseket.</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41" w:name="point40"/>
      <w:r w:rsidRPr="006A13D8">
        <w:rPr>
          <w:rFonts w:ascii="Times New Roman" w:eastAsia="Times New Roman" w:hAnsi="Times New Roman" w:cs="Times New Roman"/>
          <w:sz w:val="24"/>
          <w:szCs w:val="24"/>
          <w:lang w:eastAsia="hu-HU"/>
        </w:rPr>
        <w:t>40</w:t>
      </w:r>
      <w:bookmarkEnd w:id="41"/>
      <w:r w:rsidRPr="006A13D8">
        <w:rPr>
          <w:rFonts w:ascii="Times New Roman" w:eastAsia="Times New Roman" w:hAnsi="Times New Roman" w:cs="Times New Roman"/>
          <w:sz w:val="24"/>
          <w:szCs w:val="24"/>
          <w:lang w:eastAsia="hu-HU"/>
        </w:rPr>
        <w:t>      A nyomtatott formában elkészített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 xml:space="preserve">megállapodás felek általi aláírásának követelménye, amelyet – amint az többek között a jelen ítélet 26. pontjából kitűnik – az </w:t>
      </w:r>
      <w:proofErr w:type="gramStart"/>
      <w:r w:rsidRPr="006A13D8">
        <w:rPr>
          <w:rFonts w:ascii="Times New Roman" w:eastAsia="Times New Roman" w:hAnsi="Times New Roman" w:cs="Times New Roman"/>
          <w:sz w:val="24"/>
          <w:szCs w:val="24"/>
          <w:lang w:eastAsia="hu-HU"/>
        </w:rPr>
        <w:t>alapügyben szóban</w:t>
      </w:r>
      <w:proofErr w:type="gramEnd"/>
      <w:r w:rsidRPr="006A13D8">
        <w:rPr>
          <w:rFonts w:ascii="Times New Roman" w:eastAsia="Times New Roman" w:hAnsi="Times New Roman" w:cs="Times New Roman"/>
          <w:sz w:val="24"/>
          <w:szCs w:val="24"/>
          <w:lang w:eastAsia="hu-HU"/>
        </w:rPr>
        <w:t xml:space="preserve"> forgó nemzeti jog a szerződés érvényességi feltételeként támasztja, a 2008/48 irányelv említett rendelkezése értelmében vett,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megállapodások megkötésének érvényességére vonatkozó nemzeti rendelkezések hatálya alá tartozik.</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42" w:name="point41"/>
      <w:r w:rsidRPr="006A13D8">
        <w:rPr>
          <w:rFonts w:ascii="Times New Roman" w:eastAsia="Times New Roman" w:hAnsi="Times New Roman" w:cs="Times New Roman"/>
          <w:sz w:val="24"/>
          <w:szCs w:val="24"/>
          <w:lang w:eastAsia="hu-HU"/>
        </w:rPr>
        <w:t>41</w:t>
      </w:r>
      <w:bookmarkEnd w:id="42"/>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 xml:space="preserve">Márpedig sem a 2008/48 irányelvvel – amelynek célja a teljes és kötelező harmonizáció előírása a fogyasztói hitelek tárgyában számos kulcsfontosságú területen, amire az Unióban valamennyi fogyasztó érdekei magas szinten és egyenlő módon való védelmezésének </w:t>
      </w:r>
      <w:r w:rsidRPr="006A13D8">
        <w:rPr>
          <w:rFonts w:ascii="Times New Roman" w:eastAsia="Times New Roman" w:hAnsi="Times New Roman" w:cs="Times New Roman"/>
          <w:sz w:val="24"/>
          <w:szCs w:val="24"/>
          <w:lang w:eastAsia="hu-HU"/>
        </w:rPr>
        <w:lastRenderedPageBreak/>
        <w:t>biztosítása, valamint a fogyasztói hitelek jól működő belső piaca kialakulásának megkönnyítése céljából van szükség (lásd ebben az értelemben: 2014. március 27</w:t>
      </w:r>
      <w:r w:rsidRPr="006A13D8">
        <w:rPr>
          <w:rFonts w:ascii="Times New Roman" w:eastAsia="Times New Roman" w:hAnsi="Times New Roman" w:cs="Times New Roman"/>
          <w:sz w:val="24"/>
          <w:szCs w:val="24"/>
          <w:lang w:eastAsia="hu-HU"/>
        </w:rPr>
        <w:noBreakHyphen/>
        <w:t xml:space="preserve">i LCL Le </w:t>
      </w:r>
      <w:proofErr w:type="spellStart"/>
      <w:r w:rsidRPr="006A13D8">
        <w:rPr>
          <w:rFonts w:ascii="Times New Roman" w:eastAsia="Times New Roman" w:hAnsi="Times New Roman" w:cs="Times New Roman"/>
          <w:sz w:val="24"/>
          <w:szCs w:val="24"/>
          <w:lang w:eastAsia="hu-HU"/>
        </w:rPr>
        <w:t>Crédit</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Lyonnais</w:t>
      </w:r>
      <w:proofErr w:type="spellEnd"/>
      <w:r w:rsidRPr="006A13D8">
        <w:rPr>
          <w:rFonts w:ascii="Times New Roman" w:eastAsia="Times New Roman" w:hAnsi="Times New Roman" w:cs="Times New Roman"/>
          <w:sz w:val="24"/>
          <w:szCs w:val="24"/>
          <w:lang w:eastAsia="hu-HU"/>
        </w:rPr>
        <w:t xml:space="preserve"> ítélet, C</w:t>
      </w:r>
      <w:r w:rsidRPr="006A13D8">
        <w:rPr>
          <w:rFonts w:ascii="Times New Roman" w:eastAsia="Times New Roman" w:hAnsi="Times New Roman" w:cs="Times New Roman"/>
          <w:sz w:val="24"/>
          <w:szCs w:val="24"/>
          <w:lang w:eastAsia="hu-HU"/>
        </w:rPr>
        <w:noBreakHyphen/>
        <w:t>565/12, EU:C:2014:190, 42. pont; 2014. december 18</w:t>
      </w:r>
      <w:r w:rsidRPr="006A13D8">
        <w:rPr>
          <w:rFonts w:ascii="Times New Roman" w:eastAsia="Times New Roman" w:hAnsi="Times New Roman" w:cs="Times New Roman"/>
          <w:sz w:val="24"/>
          <w:szCs w:val="24"/>
          <w:lang w:eastAsia="hu-HU"/>
        </w:rPr>
        <w:noBreakHyphen/>
        <w:t xml:space="preserve">i CA </w:t>
      </w:r>
      <w:proofErr w:type="spellStart"/>
      <w:r w:rsidRPr="006A13D8">
        <w:rPr>
          <w:rFonts w:ascii="Times New Roman" w:eastAsia="Times New Roman" w:hAnsi="Times New Roman" w:cs="Times New Roman"/>
          <w:sz w:val="24"/>
          <w:szCs w:val="24"/>
          <w:lang w:eastAsia="hu-HU"/>
        </w:rPr>
        <w:t>Consumer</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Finance</w:t>
      </w:r>
      <w:proofErr w:type="spellEnd"/>
      <w:r w:rsidRPr="006A13D8">
        <w:rPr>
          <w:rFonts w:ascii="Times New Roman" w:eastAsia="Times New Roman" w:hAnsi="Times New Roman" w:cs="Times New Roman"/>
          <w:sz w:val="24"/>
          <w:szCs w:val="24"/>
          <w:lang w:eastAsia="hu-HU"/>
        </w:rPr>
        <w:t xml:space="preserve"> ítélet, C</w:t>
      </w:r>
      <w:r w:rsidRPr="006A13D8">
        <w:rPr>
          <w:rFonts w:ascii="Times New Roman" w:eastAsia="Times New Roman" w:hAnsi="Times New Roman" w:cs="Times New Roman"/>
          <w:sz w:val="24"/>
          <w:szCs w:val="24"/>
          <w:lang w:eastAsia="hu-HU"/>
        </w:rPr>
        <w:noBreakHyphen/>
        <w:t>449/13, EU:C:2014:2464, 21. pont; 2016. április 21</w:t>
      </w:r>
      <w:r w:rsidRPr="006A13D8">
        <w:rPr>
          <w:rFonts w:ascii="Times New Roman" w:eastAsia="Times New Roman" w:hAnsi="Times New Roman" w:cs="Times New Roman"/>
          <w:sz w:val="24"/>
          <w:szCs w:val="24"/>
          <w:lang w:eastAsia="hu-HU"/>
        </w:rPr>
        <w:noBreakHyphen/>
        <w:t xml:space="preserve">i </w:t>
      </w:r>
      <w:proofErr w:type="spellStart"/>
      <w:r w:rsidRPr="006A13D8">
        <w:rPr>
          <w:rFonts w:ascii="Times New Roman" w:eastAsia="Times New Roman" w:hAnsi="Times New Roman" w:cs="Times New Roman"/>
          <w:sz w:val="24"/>
          <w:szCs w:val="24"/>
          <w:lang w:eastAsia="hu-HU"/>
        </w:rPr>
        <w:t>Radlinger</w:t>
      </w:r>
      <w:proofErr w:type="spellEnd"/>
      <w:r w:rsidRPr="006A13D8">
        <w:rPr>
          <w:rFonts w:ascii="Times New Roman" w:eastAsia="Times New Roman" w:hAnsi="Times New Roman" w:cs="Times New Roman"/>
          <w:sz w:val="24"/>
          <w:szCs w:val="24"/>
          <w:lang w:eastAsia="hu-HU"/>
        </w:rPr>
        <w:t xml:space="preserve"> és</w:t>
      </w:r>
      <w:proofErr w:type="gram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Radlingerová</w:t>
      </w:r>
      <w:proofErr w:type="spellEnd"/>
      <w:r w:rsidRPr="006A13D8">
        <w:rPr>
          <w:rFonts w:ascii="Times New Roman" w:eastAsia="Times New Roman" w:hAnsi="Times New Roman" w:cs="Times New Roman"/>
          <w:sz w:val="24"/>
          <w:szCs w:val="24"/>
          <w:lang w:eastAsia="hu-HU"/>
        </w:rPr>
        <w:t xml:space="preserve"> ítélet, C</w:t>
      </w:r>
      <w:r w:rsidRPr="006A13D8">
        <w:rPr>
          <w:rFonts w:ascii="Times New Roman" w:eastAsia="Times New Roman" w:hAnsi="Times New Roman" w:cs="Times New Roman"/>
          <w:sz w:val="24"/>
          <w:szCs w:val="24"/>
          <w:lang w:eastAsia="hu-HU"/>
        </w:rPr>
        <w:noBreakHyphen/>
        <w:t>377/14, EU</w:t>
      </w:r>
      <w:proofErr w:type="gramStart"/>
      <w:r w:rsidRPr="006A13D8">
        <w:rPr>
          <w:rFonts w:ascii="Times New Roman" w:eastAsia="Times New Roman" w:hAnsi="Times New Roman" w:cs="Times New Roman"/>
          <w:sz w:val="24"/>
          <w:szCs w:val="24"/>
          <w:lang w:eastAsia="hu-HU"/>
        </w:rPr>
        <w:t>:C</w:t>
      </w:r>
      <w:proofErr w:type="gramEnd"/>
      <w:r w:rsidRPr="006A13D8">
        <w:rPr>
          <w:rFonts w:ascii="Times New Roman" w:eastAsia="Times New Roman" w:hAnsi="Times New Roman" w:cs="Times New Roman"/>
          <w:sz w:val="24"/>
          <w:szCs w:val="24"/>
          <w:lang w:eastAsia="hu-HU"/>
        </w:rPr>
        <w:t>:2016:283, 61. pont) –, sem pedig általában az uniós joggal nem ellentétes ez a követelmény.</w:t>
      </w:r>
    </w:p>
    <w:p w:rsidR="006A13D8" w:rsidRPr="006A13D8" w:rsidRDefault="006A13D8" w:rsidP="00827AF4">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43" w:name="point42"/>
      <w:r w:rsidRPr="006A13D8">
        <w:rPr>
          <w:rFonts w:ascii="Times New Roman" w:eastAsia="Times New Roman" w:hAnsi="Times New Roman" w:cs="Times New Roman"/>
          <w:sz w:val="24"/>
          <w:szCs w:val="24"/>
          <w:lang w:eastAsia="hu-HU"/>
        </w:rPr>
        <w:t>42</w:t>
      </w:r>
      <w:bookmarkEnd w:id="43"/>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Harmadszor azt a kérdést illetően, hogy a nemzeti szabályozás által előírt, az aláírásra vonatkozó ezen követelmény alkalmazható</w:t>
      </w:r>
      <w:r w:rsidRPr="006A13D8">
        <w:rPr>
          <w:rFonts w:ascii="Times New Roman" w:eastAsia="Times New Roman" w:hAnsi="Times New Roman" w:cs="Times New Roman"/>
          <w:sz w:val="24"/>
          <w:szCs w:val="24"/>
          <w:lang w:eastAsia="hu-HU"/>
        </w:rPr>
        <w:noBreakHyphen/>
        <w:t>e az ilyen megállapodások összes tartalmi elemére, meg kell jegyezni, hogy a 2008/48 irányelv 10. cikke (1) bekezdésének megfelelően a nyomtatott formában vagy más tartós adathordozón elkészített, ezen irányelv 3. cikkének c) pontja értelmében vett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megállapodásnak” világos és egyértelmű módon kell tartalmaznia az említett irányelv 10. cikkének (2) bekezdésében érintett tartalmi elemeket.</w:t>
      </w:r>
      <w:proofErr w:type="gramEnd"/>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44" w:name="point43"/>
      <w:r w:rsidRPr="006A13D8">
        <w:rPr>
          <w:rFonts w:ascii="Times New Roman" w:eastAsia="Times New Roman" w:hAnsi="Times New Roman" w:cs="Times New Roman"/>
          <w:sz w:val="24"/>
          <w:szCs w:val="24"/>
          <w:lang w:eastAsia="hu-HU"/>
        </w:rPr>
        <w:t>43</w:t>
      </w:r>
      <w:bookmarkEnd w:id="44"/>
      <w:r w:rsidRPr="006A13D8">
        <w:rPr>
          <w:rFonts w:ascii="Times New Roman" w:eastAsia="Times New Roman" w:hAnsi="Times New Roman" w:cs="Times New Roman"/>
          <w:sz w:val="24"/>
          <w:szCs w:val="24"/>
          <w:lang w:eastAsia="hu-HU"/>
        </w:rPr>
        <w:t xml:space="preserve">      Következésképpen, amint azt a főtanácsnok indítványának 35. pontjában kiemelte, az összes </w:t>
      </w:r>
      <w:proofErr w:type="gramStart"/>
      <w:r w:rsidRPr="006A13D8">
        <w:rPr>
          <w:rFonts w:ascii="Times New Roman" w:eastAsia="Times New Roman" w:hAnsi="Times New Roman" w:cs="Times New Roman"/>
          <w:sz w:val="24"/>
          <w:szCs w:val="24"/>
          <w:lang w:eastAsia="hu-HU"/>
        </w:rPr>
        <w:t>ezen</w:t>
      </w:r>
      <w:proofErr w:type="gramEnd"/>
      <w:r w:rsidRPr="006A13D8">
        <w:rPr>
          <w:rFonts w:ascii="Times New Roman" w:eastAsia="Times New Roman" w:hAnsi="Times New Roman" w:cs="Times New Roman"/>
          <w:sz w:val="24"/>
          <w:szCs w:val="24"/>
          <w:lang w:eastAsia="hu-HU"/>
        </w:rPr>
        <w:t xml:space="preserve"> tartalmi elemet kötelezően ilyen megállapodásba kell foglalni.</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45" w:name="point44"/>
      <w:r w:rsidRPr="006A13D8">
        <w:rPr>
          <w:rFonts w:ascii="Times New Roman" w:eastAsia="Times New Roman" w:hAnsi="Times New Roman" w:cs="Times New Roman"/>
          <w:sz w:val="24"/>
          <w:szCs w:val="24"/>
          <w:lang w:eastAsia="hu-HU"/>
        </w:rPr>
        <w:t>44</w:t>
      </w:r>
      <w:bookmarkEnd w:id="45"/>
      <w:r w:rsidRPr="006A13D8">
        <w:rPr>
          <w:rFonts w:ascii="Times New Roman" w:eastAsia="Times New Roman" w:hAnsi="Times New Roman" w:cs="Times New Roman"/>
          <w:sz w:val="24"/>
          <w:szCs w:val="24"/>
          <w:lang w:eastAsia="hu-HU"/>
        </w:rPr>
        <w:t>      Ilyen feltételek mellett, amikor a tagállam előírja nemzeti szabályozásában, hogy az aláírásra vonatkozó követelmény e megállapodás összes tartalmi eleme tekintetében alkalmazandó, aminek ellenőrzése a kérdést előterjesztő bíróság feladata, sem a 2008/48 irányelvvel, sem pedig általában az uniós joggal nem ellentétes ez a követelmény.</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46" w:name="point45"/>
      <w:r w:rsidRPr="006A13D8">
        <w:rPr>
          <w:rFonts w:ascii="Times New Roman" w:eastAsia="Times New Roman" w:hAnsi="Times New Roman" w:cs="Times New Roman"/>
          <w:sz w:val="24"/>
          <w:szCs w:val="24"/>
          <w:lang w:eastAsia="hu-HU"/>
        </w:rPr>
        <w:t>45</w:t>
      </w:r>
      <w:bookmarkEnd w:id="46"/>
      <w:r w:rsidRPr="006A13D8">
        <w:rPr>
          <w:rFonts w:ascii="Times New Roman" w:eastAsia="Times New Roman" w:hAnsi="Times New Roman" w:cs="Times New Roman"/>
          <w:sz w:val="24"/>
          <w:szCs w:val="24"/>
          <w:lang w:eastAsia="hu-HU"/>
        </w:rPr>
        <w:t>      E megfontolások összességére tekintettel az első és a második kérdésre azt a választ kell adni, hogy a 2008/48 irányelv 10. cikkének (1) és (2) bekezdését – ezen irányelv 3. cikkének m) pontjával összefüggésben – a következőképpen kell értelmezni:</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a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megállapodást nem kell szükségszerűen egyetlen dokumentumban elkészíteni, azonban az ezen irányelv 10. cikkének (2) bekezdésében említett összes tartalmi elemet nyomtatott formában vagy más tartós adathordozón kell elkészíteni;</w:t>
      </w:r>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az irányelvvel nem ellentétes, hogy a tagállam nemzeti szabályozásában előírja egyrészt azt, hogy a 2008/48 irányelv hatálya alá tartozó, és nyomtatott formában elkészített hitel</w:t>
      </w:r>
      <w:r w:rsidR="00827AF4">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 xml:space="preserve">megállapodást a feleknek alá kell írniuk, másrészt pedig azt, hogy az aláírásra vonatkozó </w:t>
      </w:r>
      <w:proofErr w:type="gramStart"/>
      <w:r w:rsidRPr="006A13D8">
        <w:rPr>
          <w:rFonts w:ascii="Times New Roman" w:eastAsia="Times New Roman" w:hAnsi="Times New Roman" w:cs="Times New Roman"/>
          <w:sz w:val="24"/>
          <w:szCs w:val="24"/>
          <w:lang w:eastAsia="hu-HU"/>
        </w:rPr>
        <w:t>ezen</w:t>
      </w:r>
      <w:proofErr w:type="gramEnd"/>
      <w:r w:rsidRPr="006A13D8">
        <w:rPr>
          <w:rFonts w:ascii="Times New Roman" w:eastAsia="Times New Roman" w:hAnsi="Times New Roman" w:cs="Times New Roman"/>
          <w:sz w:val="24"/>
          <w:szCs w:val="24"/>
          <w:lang w:eastAsia="hu-HU"/>
        </w:rPr>
        <w:t xml:space="preserve"> követelmény az említett megállapodás ezen irányelv 10. cikkének (2) bekezdésében előírt összes tartalmi elemére alkalmazandó.</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i/>
          <w:iCs/>
          <w:sz w:val="24"/>
          <w:szCs w:val="24"/>
          <w:lang w:eastAsia="hu-HU"/>
        </w:rPr>
        <w:t>A harmadik és a negyedik kérdésről</w:t>
      </w:r>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47" w:name="point46"/>
      <w:r w:rsidRPr="006A13D8">
        <w:rPr>
          <w:rFonts w:ascii="Times New Roman" w:eastAsia="Times New Roman" w:hAnsi="Times New Roman" w:cs="Times New Roman"/>
          <w:sz w:val="24"/>
          <w:szCs w:val="24"/>
          <w:lang w:eastAsia="hu-HU"/>
        </w:rPr>
        <w:t>46</w:t>
      </w:r>
      <w:bookmarkEnd w:id="47"/>
      <w:r w:rsidRPr="006A13D8">
        <w:rPr>
          <w:rFonts w:ascii="Times New Roman" w:eastAsia="Times New Roman" w:hAnsi="Times New Roman" w:cs="Times New Roman"/>
          <w:sz w:val="24"/>
          <w:szCs w:val="24"/>
          <w:lang w:eastAsia="hu-HU"/>
        </w:rPr>
        <w:t>      Az együttesen vizsgálandó harmadik és negyedik kérdésével a kérdést előterjesztő bíróság lényegében arra vár választ, hogy a 2008/48 irányelv 10. cikke (2) bekezdésének h) pontját úgy kell</w:t>
      </w:r>
      <w:r w:rsidRPr="006A13D8">
        <w:rPr>
          <w:rFonts w:ascii="Times New Roman" w:eastAsia="Times New Roman" w:hAnsi="Times New Roman" w:cs="Times New Roman"/>
          <w:sz w:val="24"/>
          <w:szCs w:val="24"/>
          <w:lang w:eastAsia="hu-HU"/>
        </w:rPr>
        <w:noBreakHyphen/>
        <w:t>e értelmezni, hogy a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 xml:space="preserve">megállapodásnak a fogyasztó által teljesítendő valamennyi fizetést konkrét időpontra való hivatkozással </w:t>
      </w:r>
      <w:proofErr w:type="gramStart"/>
      <w:r w:rsidRPr="006A13D8">
        <w:rPr>
          <w:rFonts w:ascii="Times New Roman" w:eastAsia="Times New Roman" w:hAnsi="Times New Roman" w:cs="Times New Roman"/>
          <w:sz w:val="24"/>
          <w:szCs w:val="24"/>
          <w:lang w:eastAsia="hu-HU"/>
        </w:rPr>
        <w:t>kell</w:t>
      </w:r>
      <w:proofErr w:type="gramEnd"/>
      <w:r w:rsidRPr="006A13D8">
        <w:rPr>
          <w:rFonts w:ascii="Times New Roman" w:eastAsia="Times New Roman" w:hAnsi="Times New Roman" w:cs="Times New Roman"/>
          <w:sz w:val="24"/>
          <w:szCs w:val="24"/>
          <w:lang w:eastAsia="hu-HU"/>
        </w:rPr>
        <w:t xml:space="preserve"> megjelölne, vagy pedig elegendő e tekintetben az említett megállapodásban egy általános hivatkozás, amely lehetővé teszi e fizetések időpontjainak azonosítását.</w:t>
      </w:r>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48" w:name="point47"/>
      <w:r w:rsidRPr="006A13D8">
        <w:rPr>
          <w:rFonts w:ascii="Times New Roman" w:eastAsia="Times New Roman" w:hAnsi="Times New Roman" w:cs="Times New Roman"/>
          <w:sz w:val="24"/>
          <w:szCs w:val="24"/>
          <w:lang w:eastAsia="hu-HU"/>
        </w:rPr>
        <w:t>47</w:t>
      </w:r>
      <w:bookmarkEnd w:id="48"/>
      <w:r w:rsidRPr="006A13D8">
        <w:rPr>
          <w:rFonts w:ascii="Times New Roman" w:eastAsia="Times New Roman" w:hAnsi="Times New Roman" w:cs="Times New Roman"/>
          <w:sz w:val="24"/>
          <w:szCs w:val="24"/>
          <w:lang w:eastAsia="hu-HU"/>
        </w:rPr>
        <w:t>      E tekintetben emlékeztetni kell arra, hogy e rendelkezés értelmében a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világos és egyértelmű módon tartalmazza a fogyasztó által teljesítendő fizetések összegét, számát és gyakoriságát, és adott esetben azt a sorrendet, amelynek megfelelően a különböző fennálló, eltérő hitelkamatlábú egyenlegekbe befizetésre kerülnek a törlesztések célját szolgáló fizetések.</w:t>
      </w:r>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49" w:name="point48"/>
      <w:r w:rsidRPr="006A13D8">
        <w:rPr>
          <w:rFonts w:ascii="Times New Roman" w:eastAsia="Times New Roman" w:hAnsi="Times New Roman" w:cs="Times New Roman"/>
          <w:sz w:val="24"/>
          <w:szCs w:val="24"/>
          <w:lang w:eastAsia="hu-HU"/>
        </w:rPr>
        <w:lastRenderedPageBreak/>
        <w:t>48</w:t>
      </w:r>
      <w:bookmarkEnd w:id="49"/>
      <w:r w:rsidRPr="006A13D8">
        <w:rPr>
          <w:rFonts w:ascii="Times New Roman" w:eastAsia="Times New Roman" w:hAnsi="Times New Roman" w:cs="Times New Roman"/>
          <w:sz w:val="24"/>
          <w:szCs w:val="24"/>
          <w:lang w:eastAsia="hu-HU"/>
        </w:rPr>
        <w:t>      Amint azt a főtanácsnok indítványának 55. pontjában kiemelte, az említett rendelkezés célja annak biztosítása, hogy a fogyasztó ismerje azt az időpontot, amikor az egyes teljesítendő fizetések esedékesek.</w:t>
      </w:r>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50" w:name="point49"/>
      <w:r w:rsidRPr="006A13D8">
        <w:rPr>
          <w:rFonts w:ascii="Times New Roman" w:eastAsia="Times New Roman" w:hAnsi="Times New Roman" w:cs="Times New Roman"/>
          <w:sz w:val="24"/>
          <w:szCs w:val="24"/>
          <w:lang w:eastAsia="hu-HU"/>
        </w:rPr>
        <w:t>49</w:t>
      </w:r>
      <w:bookmarkEnd w:id="50"/>
      <w:r w:rsidRPr="006A13D8">
        <w:rPr>
          <w:rFonts w:ascii="Times New Roman" w:eastAsia="Times New Roman" w:hAnsi="Times New Roman" w:cs="Times New Roman"/>
          <w:sz w:val="24"/>
          <w:szCs w:val="24"/>
          <w:lang w:eastAsia="hu-HU"/>
        </w:rPr>
        <w:t>      Következésképpen teljesül ez a célkitűzés, amennyiben e megállapodás feltételei lehetővé teszik a fogyasztó számára e fizetések időpontjainak nehézség nélküli és bizonyossággal történő azonosítását.</w:t>
      </w:r>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51" w:name="point50"/>
      <w:r w:rsidRPr="006A13D8">
        <w:rPr>
          <w:rFonts w:ascii="Times New Roman" w:eastAsia="Times New Roman" w:hAnsi="Times New Roman" w:cs="Times New Roman"/>
          <w:sz w:val="24"/>
          <w:szCs w:val="24"/>
          <w:lang w:eastAsia="hu-HU"/>
        </w:rPr>
        <w:t>50</w:t>
      </w:r>
      <w:bookmarkEnd w:id="51"/>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Ilyen feltételek mellett a harmadik és a negyedik kérdésre azt a választ kell adni, hogy a 2008/48 irányelv 10. cikke (2) bekezdésének h) pontját úgy kell értelmezni, hogy nem szükséges, hogy a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a fogyasztó által teljesítendő fizetések minden egyes esedékességét konkrét időpontra való hivatkozással jelölje meg, amennyiben e megállapodás feltételei lehetővé teszik az említett fogyasztó számára e fizetések időpontjainak nehézség nélküli és bizonyossággal történő azonosítását.</w:t>
      </w:r>
      <w:proofErr w:type="gramEnd"/>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i/>
          <w:iCs/>
          <w:sz w:val="24"/>
          <w:szCs w:val="24"/>
          <w:lang w:eastAsia="hu-HU"/>
        </w:rPr>
        <w:t>Az ötödik és a hatodik kérdésről</w:t>
      </w:r>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52" w:name="point51"/>
      <w:r w:rsidRPr="006A13D8">
        <w:rPr>
          <w:rFonts w:ascii="Times New Roman" w:eastAsia="Times New Roman" w:hAnsi="Times New Roman" w:cs="Times New Roman"/>
          <w:sz w:val="24"/>
          <w:szCs w:val="24"/>
          <w:lang w:eastAsia="hu-HU"/>
        </w:rPr>
        <w:t>51</w:t>
      </w:r>
      <w:bookmarkEnd w:id="52"/>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Az együttesen vizsgálandó ötödik és hatodik kérdésével a kérdést előterjesztő bíróság lényegében arra vár választ, hogy a 2008/48 irányelv 10. cikke (2) bekezdésének h) és i) pontját úgy kell</w:t>
      </w:r>
      <w:r w:rsidRPr="006A13D8">
        <w:rPr>
          <w:rFonts w:ascii="Times New Roman" w:eastAsia="Times New Roman" w:hAnsi="Times New Roman" w:cs="Times New Roman"/>
          <w:sz w:val="24"/>
          <w:szCs w:val="24"/>
          <w:lang w:eastAsia="hu-HU"/>
        </w:rPr>
        <w:noBreakHyphen/>
        <w:t>e értelmezni, hogy az olyan határozott idejű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megállapodásnak, amely előírja a tőke egymást követő fizetésekkel való törlesztését, törlesztési táblázat formájában pontosítania kell az egyes fizetéseknek e tőke visszafizetését szolgáló részét, és az e kérdésre adandó nemleges válasz esetén arra, hogy ezen irányelv 22. cikkének (1) bekezdésére tekintettel ezekkel a rendelkezésekkel ellentétes</w:t>
      </w:r>
      <w:r w:rsidRPr="006A13D8">
        <w:rPr>
          <w:rFonts w:ascii="Times New Roman" w:eastAsia="Times New Roman" w:hAnsi="Times New Roman" w:cs="Times New Roman"/>
          <w:sz w:val="24"/>
          <w:szCs w:val="24"/>
          <w:lang w:eastAsia="hu-HU"/>
        </w:rPr>
        <w:noBreakHyphen/>
        <w:t>e az, hogy</w:t>
      </w:r>
      <w:proofErr w:type="gramEnd"/>
      <w:r w:rsidRPr="006A13D8">
        <w:rPr>
          <w:rFonts w:ascii="Times New Roman" w:eastAsia="Times New Roman" w:hAnsi="Times New Roman" w:cs="Times New Roman"/>
          <w:sz w:val="24"/>
          <w:szCs w:val="24"/>
          <w:lang w:eastAsia="hu-HU"/>
        </w:rPr>
        <w:t xml:space="preserve"> </w:t>
      </w:r>
      <w:proofErr w:type="gramStart"/>
      <w:r w:rsidRPr="006A13D8">
        <w:rPr>
          <w:rFonts w:ascii="Times New Roman" w:eastAsia="Times New Roman" w:hAnsi="Times New Roman" w:cs="Times New Roman"/>
          <w:sz w:val="24"/>
          <w:szCs w:val="24"/>
          <w:lang w:eastAsia="hu-HU"/>
        </w:rPr>
        <w:t>a</w:t>
      </w:r>
      <w:proofErr w:type="gramEnd"/>
      <w:r w:rsidRPr="006A13D8">
        <w:rPr>
          <w:rFonts w:ascii="Times New Roman" w:eastAsia="Times New Roman" w:hAnsi="Times New Roman" w:cs="Times New Roman"/>
          <w:sz w:val="24"/>
          <w:szCs w:val="24"/>
          <w:lang w:eastAsia="hu-HU"/>
        </w:rPr>
        <w:t xml:space="preserve"> tagállam nemzeti szabályozásában ilyen kötelezettséget ír elő.</w:t>
      </w:r>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53" w:name="point52"/>
      <w:r w:rsidRPr="006A13D8">
        <w:rPr>
          <w:rFonts w:ascii="Times New Roman" w:eastAsia="Times New Roman" w:hAnsi="Times New Roman" w:cs="Times New Roman"/>
          <w:sz w:val="24"/>
          <w:szCs w:val="24"/>
          <w:lang w:eastAsia="hu-HU"/>
        </w:rPr>
        <w:t>52</w:t>
      </w:r>
      <w:bookmarkEnd w:id="53"/>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E kérdések megválaszolása érdekében ki kell emelni, hogy – amint az a jelen ítélet 47. pontjában felidézésre került – ezen irányelv 10. cikke (2) bekezdésének h) pontja előírja, hogy a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megállapodásnak kizárólag a fogyasztó által teljesítendő fizetések összegét, számát és gyakoriságát, adott esetben pedig azt a sorrendet kell tartalmaznia, amelynek megfelelően a különböző fennálló, eltérő hitelkamatlábú egyenlegekbe befizetésre kerülnek a törlesztések célját szolgáló fizetések.</w:t>
      </w:r>
      <w:proofErr w:type="gramEnd"/>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54" w:name="point53"/>
      <w:r w:rsidRPr="006A13D8">
        <w:rPr>
          <w:rFonts w:ascii="Times New Roman" w:eastAsia="Times New Roman" w:hAnsi="Times New Roman" w:cs="Times New Roman"/>
          <w:sz w:val="24"/>
          <w:szCs w:val="24"/>
          <w:lang w:eastAsia="hu-HU"/>
        </w:rPr>
        <w:t>53</w:t>
      </w:r>
      <w:bookmarkEnd w:id="54"/>
      <w:r w:rsidRPr="006A13D8">
        <w:rPr>
          <w:rFonts w:ascii="Times New Roman" w:eastAsia="Times New Roman" w:hAnsi="Times New Roman" w:cs="Times New Roman"/>
          <w:sz w:val="24"/>
          <w:szCs w:val="24"/>
          <w:lang w:eastAsia="hu-HU"/>
        </w:rPr>
        <w:t>      Az említett irányelv 20. cikke (2) bekezdésének i) pontjából, valamint (3) bekezdéséből kitűnik, hogy a hitelező kizárólag a fogyasztónak a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teljes időtartama alatt tett kérelmére köteles részére ingyenesen, törlesztési táblázat formájában továbbítani a számlakivonatot.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55" w:name="point54"/>
      <w:r w:rsidRPr="006A13D8">
        <w:rPr>
          <w:rFonts w:ascii="Times New Roman" w:eastAsia="Times New Roman" w:hAnsi="Times New Roman" w:cs="Times New Roman"/>
          <w:sz w:val="24"/>
          <w:szCs w:val="24"/>
          <w:lang w:eastAsia="hu-HU"/>
        </w:rPr>
        <w:t>54</w:t>
      </w:r>
      <w:bookmarkEnd w:id="55"/>
      <w:r w:rsidRPr="006A13D8">
        <w:rPr>
          <w:rFonts w:ascii="Times New Roman" w:eastAsia="Times New Roman" w:hAnsi="Times New Roman" w:cs="Times New Roman"/>
          <w:sz w:val="24"/>
          <w:szCs w:val="24"/>
          <w:lang w:eastAsia="hu-HU"/>
        </w:rPr>
        <w:t>      E rendelkezések egyértelmű szövegére tekintettel meg kell állapítani, hogy a 2008/48 irányelv nem ír elő ilyen számlakivonatnak törlesztési táblázat formájában a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megállapodásba foglalására vonatkozó kötelezettséget.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56" w:name="point55"/>
      <w:r w:rsidRPr="006A13D8">
        <w:rPr>
          <w:rFonts w:ascii="Times New Roman" w:eastAsia="Times New Roman" w:hAnsi="Times New Roman" w:cs="Times New Roman"/>
          <w:sz w:val="24"/>
          <w:szCs w:val="24"/>
          <w:lang w:eastAsia="hu-HU"/>
        </w:rPr>
        <w:t>55</w:t>
      </w:r>
      <w:bookmarkEnd w:id="56"/>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A tagállamok számára azt a lehetőséget illetően, hogy nemzeti szabályozásukba ilyen kötelezettséget írjanak elő, hangsúlyozni kell, hogy ami a 2008/48 irányelv hatálya alá tartozó megállapodásokat illeti, a tagállamok nem fogadhatnak el a szerződő felek tekintetében az ezen irányelvben elő nem írt kötelezettségeket, amikor az irányelv az ezen kötelezettségekkel érintett területen harmonizált rendelkezéseket tartalmaz (lásd analógia útján: 2012. július 12</w:t>
      </w:r>
      <w:r w:rsidRPr="006A13D8">
        <w:rPr>
          <w:rFonts w:ascii="Times New Roman" w:eastAsia="Times New Roman" w:hAnsi="Times New Roman" w:cs="Times New Roman"/>
          <w:sz w:val="24"/>
          <w:szCs w:val="24"/>
          <w:lang w:eastAsia="hu-HU"/>
        </w:rPr>
        <w:noBreakHyphen/>
        <w:t xml:space="preserve">i SC Volksbank </w:t>
      </w:r>
      <w:proofErr w:type="spellStart"/>
      <w:r w:rsidRPr="006A13D8">
        <w:rPr>
          <w:rFonts w:ascii="Times New Roman" w:eastAsia="Times New Roman" w:hAnsi="Times New Roman" w:cs="Times New Roman"/>
          <w:sz w:val="24"/>
          <w:szCs w:val="24"/>
          <w:lang w:eastAsia="hu-HU"/>
        </w:rPr>
        <w:t>România</w:t>
      </w:r>
      <w:proofErr w:type="spellEnd"/>
      <w:r w:rsidRPr="006A13D8">
        <w:rPr>
          <w:rFonts w:ascii="Times New Roman" w:eastAsia="Times New Roman" w:hAnsi="Times New Roman" w:cs="Times New Roman"/>
          <w:sz w:val="24"/>
          <w:szCs w:val="24"/>
          <w:lang w:eastAsia="hu-HU"/>
        </w:rPr>
        <w:t xml:space="preserve"> ítélet, C</w:t>
      </w:r>
      <w:r w:rsidRPr="006A13D8">
        <w:rPr>
          <w:rFonts w:ascii="Times New Roman" w:eastAsia="Times New Roman" w:hAnsi="Times New Roman" w:cs="Times New Roman"/>
          <w:sz w:val="24"/>
          <w:szCs w:val="24"/>
          <w:lang w:eastAsia="hu-HU"/>
        </w:rPr>
        <w:noBreakHyphen/>
        <w:t>602/10, EU:C:2012:443, 63. és 64. pont).</w:t>
      </w:r>
      <w:proofErr w:type="gramEnd"/>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57" w:name="point56"/>
      <w:r w:rsidRPr="006A13D8">
        <w:rPr>
          <w:rFonts w:ascii="Times New Roman" w:eastAsia="Times New Roman" w:hAnsi="Times New Roman" w:cs="Times New Roman"/>
          <w:sz w:val="24"/>
          <w:szCs w:val="24"/>
          <w:lang w:eastAsia="hu-HU"/>
        </w:rPr>
        <w:lastRenderedPageBreak/>
        <w:t>56</w:t>
      </w:r>
      <w:bookmarkEnd w:id="57"/>
      <w:r w:rsidRPr="006A13D8">
        <w:rPr>
          <w:rFonts w:ascii="Times New Roman" w:eastAsia="Times New Roman" w:hAnsi="Times New Roman" w:cs="Times New Roman"/>
          <w:sz w:val="24"/>
          <w:szCs w:val="24"/>
          <w:lang w:eastAsia="hu-HU"/>
        </w:rPr>
        <w:t>      Márpedig meg kell állapítani, hogy a 2008/48 irányelv 10. cikkének (2) bekezdése ilyen harmonizációt valósít meg azokat a tartalmi elemeket illetően, amelyeknek kötelező jelleggel szerepelniük kell a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megállapodásban.</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58" w:name="point57"/>
      <w:r w:rsidRPr="006A13D8">
        <w:rPr>
          <w:rFonts w:ascii="Times New Roman" w:eastAsia="Times New Roman" w:hAnsi="Times New Roman" w:cs="Times New Roman"/>
          <w:sz w:val="24"/>
          <w:szCs w:val="24"/>
          <w:lang w:eastAsia="hu-HU"/>
        </w:rPr>
        <w:t>57</w:t>
      </w:r>
      <w:bookmarkEnd w:id="58"/>
      <w:r w:rsidRPr="006A13D8">
        <w:rPr>
          <w:rFonts w:ascii="Times New Roman" w:eastAsia="Times New Roman" w:hAnsi="Times New Roman" w:cs="Times New Roman"/>
          <w:sz w:val="24"/>
          <w:szCs w:val="24"/>
          <w:lang w:eastAsia="hu-HU"/>
        </w:rPr>
        <w:t>      Kétségtelen, hogy ezen irányelv 10. cikke (2) bekezdésének u) pontja értelmében a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megállapodásnak világos és egyértelmű módon tartalmaznia kell adott esetben az egyéb szerződési feltételeket. Mindazonáltal e rendelkezés célja a nyomtatott formában vagy más tartós adathordozón elkészített megállapodásba minden olyan kikötés és feltétel belefoglalására vonatkozó kötelezettség előírása, amelyekben a felek a hitellel kapcsolatos szerződéses jogviszonyuk keretében megállapodtak.</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59" w:name="point58"/>
      <w:r w:rsidRPr="006A13D8">
        <w:rPr>
          <w:rFonts w:ascii="Times New Roman" w:eastAsia="Times New Roman" w:hAnsi="Times New Roman" w:cs="Times New Roman"/>
          <w:sz w:val="24"/>
          <w:szCs w:val="24"/>
          <w:lang w:eastAsia="hu-HU"/>
        </w:rPr>
        <w:t>58</w:t>
      </w:r>
      <w:bookmarkEnd w:id="59"/>
      <w:r w:rsidRPr="006A13D8">
        <w:rPr>
          <w:rFonts w:ascii="Times New Roman" w:eastAsia="Times New Roman" w:hAnsi="Times New Roman" w:cs="Times New Roman"/>
          <w:sz w:val="24"/>
          <w:szCs w:val="24"/>
          <w:lang w:eastAsia="hu-HU"/>
        </w:rPr>
        <w:t xml:space="preserve">      Az említett rendelkezés ugyanakkor nem értelmezhető úgy, hogy az felhatalmazza a tagállamokat arra, hogy nemzeti szabályozásukban az említett irányelv 10. cikkének (2) bekezdésében felsoroltaktól eltérő tartalmi elemek </w:t>
      </w:r>
      <w:proofErr w:type="spellStart"/>
      <w:r w:rsidRPr="006A13D8">
        <w:rPr>
          <w:rFonts w:ascii="Times New Roman" w:eastAsia="Times New Roman" w:hAnsi="Times New Roman" w:cs="Times New Roman"/>
          <w:sz w:val="24"/>
          <w:szCs w:val="24"/>
          <w:lang w:eastAsia="hu-HU"/>
        </w:rPr>
        <w:t>hitelmegállapodásba</w:t>
      </w:r>
      <w:proofErr w:type="spellEnd"/>
      <w:r w:rsidRPr="006A13D8">
        <w:rPr>
          <w:rFonts w:ascii="Times New Roman" w:eastAsia="Times New Roman" w:hAnsi="Times New Roman" w:cs="Times New Roman"/>
          <w:sz w:val="24"/>
          <w:szCs w:val="24"/>
          <w:lang w:eastAsia="hu-HU"/>
        </w:rPr>
        <w:t xml:space="preserve"> foglalására vonatkozó kötelezettséget írjanak elő.</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60" w:name="point59"/>
      <w:r w:rsidRPr="006A13D8">
        <w:rPr>
          <w:rFonts w:ascii="Times New Roman" w:eastAsia="Times New Roman" w:hAnsi="Times New Roman" w:cs="Times New Roman"/>
          <w:sz w:val="24"/>
          <w:szCs w:val="24"/>
          <w:lang w:eastAsia="hu-HU"/>
        </w:rPr>
        <w:t>59</w:t>
      </w:r>
      <w:bookmarkEnd w:id="60"/>
      <w:r w:rsidRPr="006A13D8">
        <w:rPr>
          <w:rFonts w:ascii="Times New Roman" w:eastAsia="Times New Roman" w:hAnsi="Times New Roman" w:cs="Times New Roman"/>
          <w:sz w:val="24"/>
          <w:szCs w:val="24"/>
          <w:lang w:eastAsia="hu-HU"/>
        </w:rPr>
        <w:t xml:space="preserve">      Az ötödik és a hatodik kérdésre következésképpen azt a választ kell adni, hogy a 2008/48 irányelv 10. cikke (2) bekezdésének h) és i) pontját úgy kell értelmezni, hogy az olyan határozott idejű </w:t>
      </w:r>
      <w:proofErr w:type="spellStart"/>
      <w:r w:rsidRPr="006A13D8">
        <w:rPr>
          <w:rFonts w:ascii="Times New Roman" w:eastAsia="Times New Roman" w:hAnsi="Times New Roman" w:cs="Times New Roman"/>
          <w:sz w:val="24"/>
          <w:szCs w:val="24"/>
          <w:lang w:eastAsia="hu-HU"/>
        </w:rPr>
        <w:t>hitelmegállapodásnak</w:t>
      </w:r>
      <w:proofErr w:type="spellEnd"/>
      <w:r w:rsidRPr="006A13D8">
        <w:rPr>
          <w:rFonts w:ascii="Times New Roman" w:eastAsia="Times New Roman" w:hAnsi="Times New Roman" w:cs="Times New Roman"/>
          <w:sz w:val="24"/>
          <w:szCs w:val="24"/>
          <w:lang w:eastAsia="hu-HU"/>
        </w:rPr>
        <w:t>, amely előírja a tőke egymást követő fizetésekkel való törlesztését, nem kell törlesztési táblázat formájában pontosítania az egyes fizetéseknek e tőke visszafizetését szolgáló részét. Az ezen irányelv 22. cikkének (1) bekezdésével összefüggésben értelmezett e rendelkezésekkel ellentétes az, hogy a tagállam nemzeti szabályozásában ilyen kötelezettséget ír elő.</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i/>
          <w:iCs/>
          <w:sz w:val="24"/>
          <w:szCs w:val="24"/>
          <w:lang w:eastAsia="hu-HU"/>
        </w:rPr>
        <w:t>A hetedik kérdésről</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61" w:name="point60"/>
      <w:r w:rsidRPr="006A13D8">
        <w:rPr>
          <w:rFonts w:ascii="Times New Roman" w:eastAsia="Times New Roman" w:hAnsi="Times New Roman" w:cs="Times New Roman"/>
          <w:sz w:val="24"/>
          <w:szCs w:val="24"/>
          <w:lang w:eastAsia="hu-HU"/>
        </w:rPr>
        <w:t>60</w:t>
      </w:r>
      <w:bookmarkEnd w:id="61"/>
      <w:r w:rsidRPr="006A13D8">
        <w:rPr>
          <w:rFonts w:ascii="Times New Roman" w:eastAsia="Times New Roman" w:hAnsi="Times New Roman" w:cs="Times New Roman"/>
          <w:sz w:val="24"/>
          <w:szCs w:val="24"/>
          <w:lang w:eastAsia="hu-HU"/>
        </w:rPr>
        <w:t>      Hetedik kérdésével a kérdést előterjesztő bíróság lényegében arra vár választ, hogy a 2008/48 irányelv 23. cikkét úgy kell</w:t>
      </w:r>
      <w:r w:rsidRPr="006A13D8">
        <w:rPr>
          <w:rFonts w:ascii="Times New Roman" w:eastAsia="Times New Roman" w:hAnsi="Times New Roman" w:cs="Times New Roman"/>
          <w:sz w:val="24"/>
          <w:szCs w:val="24"/>
          <w:lang w:eastAsia="hu-HU"/>
        </w:rPr>
        <w:noBreakHyphen/>
        <w:t xml:space="preserve">e értelmezni, hogy azzal nem ellentétes, hogy valamely tagállam nemzeti szabályozásában előírja, hogy amennyiben valamely </w:t>
      </w:r>
      <w:proofErr w:type="spellStart"/>
      <w:r w:rsidRPr="006A13D8">
        <w:rPr>
          <w:rFonts w:ascii="Times New Roman" w:eastAsia="Times New Roman" w:hAnsi="Times New Roman" w:cs="Times New Roman"/>
          <w:sz w:val="24"/>
          <w:szCs w:val="24"/>
          <w:lang w:eastAsia="hu-HU"/>
        </w:rPr>
        <w:t>hitelmegállapodás</w:t>
      </w:r>
      <w:proofErr w:type="spellEnd"/>
      <w:r w:rsidRPr="006A13D8">
        <w:rPr>
          <w:rFonts w:ascii="Times New Roman" w:eastAsia="Times New Roman" w:hAnsi="Times New Roman" w:cs="Times New Roman"/>
          <w:sz w:val="24"/>
          <w:szCs w:val="24"/>
          <w:lang w:eastAsia="hu-HU"/>
        </w:rPr>
        <w:t xml:space="preserve"> nem tartalmazza az ezen irányelv 10. cikkének (2) bekezdésében megkövetelt összes tartalmi elemet, ezt a megállapodást kamat</w:t>
      </w:r>
      <w:r w:rsidRPr="006A13D8">
        <w:rPr>
          <w:rFonts w:ascii="Times New Roman" w:eastAsia="Times New Roman" w:hAnsi="Times New Roman" w:cs="Times New Roman"/>
          <w:sz w:val="24"/>
          <w:szCs w:val="24"/>
          <w:lang w:eastAsia="hu-HU"/>
        </w:rPr>
        <w:noBreakHyphen/>
        <w:t xml:space="preserve"> és költségmentesnek kell tekinteni.</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62" w:name="point61"/>
      <w:r w:rsidRPr="006A13D8">
        <w:rPr>
          <w:rFonts w:ascii="Times New Roman" w:eastAsia="Times New Roman" w:hAnsi="Times New Roman" w:cs="Times New Roman"/>
          <w:sz w:val="24"/>
          <w:szCs w:val="24"/>
          <w:lang w:eastAsia="hu-HU"/>
        </w:rPr>
        <w:t>61</w:t>
      </w:r>
      <w:bookmarkEnd w:id="62"/>
      <w:r w:rsidRPr="006A13D8">
        <w:rPr>
          <w:rFonts w:ascii="Times New Roman" w:eastAsia="Times New Roman" w:hAnsi="Times New Roman" w:cs="Times New Roman"/>
          <w:sz w:val="24"/>
          <w:szCs w:val="24"/>
          <w:lang w:eastAsia="hu-HU"/>
        </w:rPr>
        <w:t>      E tekintetben emlékeztetni kell mindenekelőtt arra, hogy a 2008/48 irányelv 23. cikke értelmében a tagállamoknak meg kell állapítaniuk az ezen irányelv alapján elfogadott nemzeti rendelkezések megszegése esetén alkalmazandó szankciókra vonatkozó szabályokat, és minden szükséges intézkedést meg kell hozniuk azok végrehajtásának biztosítására.</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63" w:name="point62"/>
      <w:r w:rsidRPr="006A13D8">
        <w:rPr>
          <w:rFonts w:ascii="Times New Roman" w:eastAsia="Times New Roman" w:hAnsi="Times New Roman" w:cs="Times New Roman"/>
          <w:sz w:val="24"/>
          <w:szCs w:val="24"/>
          <w:lang w:eastAsia="hu-HU"/>
        </w:rPr>
        <w:t>62</w:t>
      </w:r>
      <w:bookmarkEnd w:id="63"/>
      <w:r w:rsidRPr="006A13D8">
        <w:rPr>
          <w:rFonts w:ascii="Times New Roman" w:eastAsia="Times New Roman" w:hAnsi="Times New Roman" w:cs="Times New Roman"/>
          <w:sz w:val="24"/>
          <w:szCs w:val="24"/>
          <w:lang w:eastAsia="hu-HU"/>
        </w:rPr>
        <w:t>      Mindazonáltal az említett irányelv (47) </w:t>
      </w:r>
      <w:proofErr w:type="spellStart"/>
      <w:r w:rsidRPr="006A13D8">
        <w:rPr>
          <w:rFonts w:ascii="Times New Roman" w:eastAsia="Times New Roman" w:hAnsi="Times New Roman" w:cs="Times New Roman"/>
          <w:sz w:val="24"/>
          <w:szCs w:val="24"/>
          <w:lang w:eastAsia="hu-HU"/>
        </w:rPr>
        <w:t>preambulumbekezdéséből</w:t>
      </w:r>
      <w:proofErr w:type="spellEnd"/>
      <w:r w:rsidRPr="006A13D8">
        <w:rPr>
          <w:rFonts w:ascii="Times New Roman" w:eastAsia="Times New Roman" w:hAnsi="Times New Roman" w:cs="Times New Roman"/>
          <w:sz w:val="24"/>
          <w:szCs w:val="24"/>
          <w:lang w:eastAsia="hu-HU"/>
        </w:rPr>
        <w:t xml:space="preserve"> kitűnik, hogy bár e szankciók megválasztása a tagállamok hatáskörében marad, </w:t>
      </w:r>
      <w:proofErr w:type="gramStart"/>
      <w:r w:rsidRPr="006A13D8">
        <w:rPr>
          <w:rFonts w:ascii="Times New Roman" w:eastAsia="Times New Roman" w:hAnsi="Times New Roman" w:cs="Times New Roman"/>
          <w:sz w:val="24"/>
          <w:szCs w:val="24"/>
          <w:lang w:eastAsia="hu-HU"/>
        </w:rPr>
        <w:t>azoknak</w:t>
      </w:r>
      <w:proofErr w:type="gramEnd"/>
      <w:r w:rsidRPr="006A13D8">
        <w:rPr>
          <w:rFonts w:ascii="Times New Roman" w:eastAsia="Times New Roman" w:hAnsi="Times New Roman" w:cs="Times New Roman"/>
          <w:sz w:val="24"/>
          <w:szCs w:val="24"/>
          <w:lang w:eastAsia="hu-HU"/>
        </w:rPr>
        <w:t xml:space="preserve"> hatékonyaknak, arányosaknak és visszatartó erejűeknek kell lenniük (lásd ebben az értelemben: 2014. március 27</w:t>
      </w:r>
      <w:r w:rsidRPr="006A13D8">
        <w:rPr>
          <w:rFonts w:ascii="Times New Roman" w:eastAsia="Times New Roman" w:hAnsi="Times New Roman" w:cs="Times New Roman"/>
          <w:sz w:val="24"/>
          <w:szCs w:val="24"/>
          <w:lang w:eastAsia="hu-HU"/>
        </w:rPr>
        <w:noBreakHyphen/>
        <w:t xml:space="preserve">i LCL Le </w:t>
      </w:r>
      <w:proofErr w:type="spellStart"/>
      <w:r w:rsidRPr="006A13D8">
        <w:rPr>
          <w:rFonts w:ascii="Times New Roman" w:eastAsia="Times New Roman" w:hAnsi="Times New Roman" w:cs="Times New Roman"/>
          <w:sz w:val="24"/>
          <w:szCs w:val="24"/>
          <w:lang w:eastAsia="hu-HU"/>
        </w:rPr>
        <w:t>Crédit</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Lyonnais</w:t>
      </w:r>
      <w:proofErr w:type="spellEnd"/>
      <w:r w:rsidRPr="006A13D8">
        <w:rPr>
          <w:rFonts w:ascii="Times New Roman" w:eastAsia="Times New Roman" w:hAnsi="Times New Roman" w:cs="Times New Roman"/>
          <w:sz w:val="24"/>
          <w:szCs w:val="24"/>
          <w:lang w:eastAsia="hu-HU"/>
        </w:rPr>
        <w:t xml:space="preserve"> ítélet, C</w:t>
      </w:r>
      <w:r w:rsidRPr="006A13D8">
        <w:rPr>
          <w:rFonts w:ascii="Times New Roman" w:eastAsia="Times New Roman" w:hAnsi="Times New Roman" w:cs="Times New Roman"/>
          <w:sz w:val="24"/>
          <w:szCs w:val="24"/>
          <w:lang w:eastAsia="hu-HU"/>
        </w:rPr>
        <w:noBreakHyphen/>
        <w:t>565/12, EU:C:2014:190, 43. pont).</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64" w:name="point63"/>
      <w:r w:rsidRPr="006A13D8">
        <w:rPr>
          <w:rFonts w:ascii="Times New Roman" w:eastAsia="Times New Roman" w:hAnsi="Times New Roman" w:cs="Times New Roman"/>
          <w:sz w:val="24"/>
          <w:szCs w:val="24"/>
          <w:lang w:eastAsia="hu-HU"/>
        </w:rPr>
        <w:t>63</w:t>
      </w:r>
      <w:bookmarkEnd w:id="64"/>
      <w:r w:rsidRPr="006A13D8">
        <w:rPr>
          <w:rFonts w:ascii="Times New Roman" w:eastAsia="Times New Roman" w:hAnsi="Times New Roman" w:cs="Times New Roman"/>
          <w:sz w:val="24"/>
          <w:szCs w:val="24"/>
          <w:lang w:eastAsia="hu-HU"/>
        </w:rPr>
        <w:t>      A Bíróság már megállapította, hogy a jogsértések visszaszorítására irányuló szankciók szigorúságának összhangban kell állnia a jogsértés súlyával, különösen a tényleges visszatartó erő biztosítása révén, az arányosság általános elvének tiszteletben tartásával (lásd: 2014. március 27</w:t>
      </w:r>
      <w:r w:rsidRPr="006A13D8">
        <w:rPr>
          <w:rFonts w:ascii="Times New Roman" w:eastAsia="Times New Roman" w:hAnsi="Times New Roman" w:cs="Times New Roman"/>
          <w:sz w:val="24"/>
          <w:szCs w:val="24"/>
          <w:lang w:eastAsia="hu-HU"/>
        </w:rPr>
        <w:noBreakHyphen/>
        <w:t xml:space="preserve">i LCL Le </w:t>
      </w:r>
      <w:proofErr w:type="spellStart"/>
      <w:r w:rsidRPr="006A13D8">
        <w:rPr>
          <w:rFonts w:ascii="Times New Roman" w:eastAsia="Times New Roman" w:hAnsi="Times New Roman" w:cs="Times New Roman"/>
          <w:sz w:val="24"/>
          <w:szCs w:val="24"/>
          <w:lang w:eastAsia="hu-HU"/>
        </w:rPr>
        <w:t>Crédit</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Lyonnais</w:t>
      </w:r>
      <w:proofErr w:type="spellEnd"/>
      <w:r w:rsidRPr="006A13D8">
        <w:rPr>
          <w:rFonts w:ascii="Times New Roman" w:eastAsia="Times New Roman" w:hAnsi="Times New Roman" w:cs="Times New Roman"/>
          <w:sz w:val="24"/>
          <w:szCs w:val="24"/>
          <w:lang w:eastAsia="hu-HU"/>
        </w:rPr>
        <w:t xml:space="preserve"> ítélet, C</w:t>
      </w:r>
      <w:r w:rsidRPr="006A13D8">
        <w:rPr>
          <w:rFonts w:ascii="Times New Roman" w:eastAsia="Times New Roman" w:hAnsi="Times New Roman" w:cs="Times New Roman"/>
          <w:sz w:val="24"/>
          <w:szCs w:val="24"/>
          <w:lang w:eastAsia="hu-HU"/>
        </w:rPr>
        <w:noBreakHyphen/>
        <w:t>565/12, EU</w:t>
      </w:r>
      <w:proofErr w:type="gramStart"/>
      <w:r w:rsidRPr="006A13D8">
        <w:rPr>
          <w:rFonts w:ascii="Times New Roman" w:eastAsia="Times New Roman" w:hAnsi="Times New Roman" w:cs="Times New Roman"/>
          <w:sz w:val="24"/>
          <w:szCs w:val="24"/>
          <w:lang w:eastAsia="hu-HU"/>
        </w:rPr>
        <w:t>:C</w:t>
      </w:r>
      <w:proofErr w:type="gramEnd"/>
      <w:r w:rsidRPr="006A13D8">
        <w:rPr>
          <w:rFonts w:ascii="Times New Roman" w:eastAsia="Times New Roman" w:hAnsi="Times New Roman" w:cs="Times New Roman"/>
          <w:sz w:val="24"/>
          <w:szCs w:val="24"/>
          <w:lang w:eastAsia="hu-HU"/>
        </w:rPr>
        <w:t>:2014:190, 45. pont, valamint az ott hivatkozott ítélkezési gyakorlat).</w:t>
      </w:r>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65" w:name="point64"/>
      <w:r w:rsidRPr="006A13D8">
        <w:rPr>
          <w:rFonts w:ascii="Times New Roman" w:eastAsia="Times New Roman" w:hAnsi="Times New Roman" w:cs="Times New Roman"/>
          <w:sz w:val="24"/>
          <w:szCs w:val="24"/>
          <w:lang w:eastAsia="hu-HU"/>
        </w:rPr>
        <w:t>64</w:t>
      </w:r>
      <w:bookmarkEnd w:id="65"/>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E tekintetben a Bíróság 2014. március 27</w:t>
      </w:r>
      <w:r w:rsidRPr="006A13D8">
        <w:rPr>
          <w:rFonts w:ascii="Times New Roman" w:eastAsia="Times New Roman" w:hAnsi="Times New Roman" w:cs="Times New Roman"/>
          <w:sz w:val="24"/>
          <w:szCs w:val="24"/>
          <w:lang w:eastAsia="hu-HU"/>
        </w:rPr>
        <w:noBreakHyphen/>
        <w:t xml:space="preserve">i LCL Le </w:t>
      </w:r>
      <w:proofErr w:type="spellStart"/>
      <w:r w:rsidRPr="006A13D8">
        <w:rPr>
          <w:rFonts w:ascii="Times New Roman" w:eastAsia="Times New Roman" w:hAnsi="Times New Roman" w:cs="Times New Roman"/>
          <w:sz w:val="24"/>
          <w:szCs w:val="24"/>
          <w:lang w:eastAsia="hu-HU"/>
        </w:rPr>
        <w:t>Crédit</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Lyonnais</w:t>
      </w:r>
      <w:proofErr w:type="spellEnd"/>
      <w:r w:rsidRPr="006A13D8">
        <w:rPr>
          <w:rFonts w:ascii="Times New Roman" w:eastAsia="Times New Roman" w:hAnsi="Times New Roman" w:cs="Times New Roman"/>
          <w:sz w:val="24"/>
          <w:szCs w:val="24"/>
          <w:lang w:eastAsia="hu-HU"/>
        </w:rPr>
        <w:t xml:space="preserve"> ítéletében (C</w:t>
      </w:r>
      <w:r w:rsidRPr="006A13D8">
        <w:rPr>
          <w:rFonts w:ascii="Times New Roman" w:eastAsia="Times New Roman" w:hAnsi="Times New Roman" w:cs="Times New Roman"/>
          <w:sz w:val="24"/>
          <w:szCs w:val="24"/>
          <w:lang w:eastAsia="hu-HU"/>
        </w:rPr>
        <w:noBreakHyphen/>
        <w:t xml:space="preserve">565/12, EU:C:2014:190) már értékelte az ebben az ügyben a hitelező kamatkövetelésektől </w:t>
      </w:r>
      <w:r w:rsidRPr="006A13D8">
        <w:rPr>
          <w:rFonts w:ascii="Times New Roman" w:eastAsia="Times New Roman" w:hAnsi="Times New Roman" w:cs="Times New Roman"/>
          <w:sz w:val="24"/>
          <w:szCs w:val="24"/>
          <w:lang w:eastAsia="hu-HU"/>
        </w:rPr>
        <w:lastRenderedPageBreak/>
        <w:t>való főszabály szerinti teljes megfosztására vonatkozó szankciót illetően – a 2008/48 irányelv 8. cikkében előírt, a hitelezőnek a fogyasztó hitelképességének vizsgálatára vonatkozó, a szerződéskötést megelőző kötelezettség megsértése esetében – a valamely tagállam által meghatározott szankciórendszer tekintetében előírt ilyen korlátok tiszteletben tartását.</w:t>
      </w:r>
      <w:proofErr w:type="gramEnd"/>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66" w:name="point65"/>
      <w:r w:rsidRPr="006A13D8">
        <w:rPr>
          <w:rFonts w:ascii="Times New Roman" w:eastAsia="Times New Roman" w:hAnsi="Times New Roman" w:cs="Times New Roman"/>
          <w:sz w:val="24"/>
          <w:szCs w:val="24"/>
          <w:lang w:eastAsia="hu-HU"/>
        </w:rPr>
        <w:t>65</w:t>
      </w:r>
      <w:bookmarkEnd w:id="66"/>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Tekintettel az adós hitelképességének hitelező általi vizsgálatára vonatkozó kötelezettséghez kapcsolódó fogyasztóvédelmi cél jelentőségére, a Bíróság kimondta, hogy ha a kamatköveteléstől való megfosztás szankciója gyengülne vagy akár tisztán és egyszerűen elenyészne, abból szükségképpen az következne, hogy e szankció nem mutat ténylegesen visszatartó jelleget (lásd ebben az értelemben: 2014. március 27</w:t>
      </w:r>
      <w:r w:rsidRPr="006A13D8">
        <w:rPr>
          <w:rFonts w:ascii="Times New Roman" w:eastAsia="Times New Roman" w:hAnsi="Times New Roman" w:cs="Times New Roman"/>
          <w:sz w:val="24"/>
          <w:szCs w:val="24"/>
          <w:lang w:eastAsia="hu-HU"/>
        </w:rPr>
        <w:noBreakHyphen/>
        <w:t xml:space="preserve">i LCL Le </w:t>
      </w:r>
      <w:proofErr w:type="spellStart"/>
      <w:r w:rsidRPr="006A13D8">
        <w:rPr>
          <w:rFonts w:ascii="Times New Roman" w:eastAsia="Times New Roman" w:hAnsi="Times New Roman" w:cs="Times New Roman"/>
          <w:sz w:val="24"/>
          <w:szCs w:val="24"/>
          <w:lang w:eastAsia="hu-HU"/>
        </w:rPr>
        <w:t>Crédit</w:t>
      </w:r>
      <w:proofErr w:type="spellEnd"/>
      <w:r w:rsidRPr="006A13D8">
        <w:rPr>
          <w:rFonts w:ascii="Times New Roman" w:eastAsia="Times New Roman" w:hAnsi="Times New Roman" w:cs="Times New Roman"/>
          <w:sz w:val="24"/>
          <w:szCs w:val="24"/>
          <w:lang w:eastAsia="hu-HU"/>
        </w:rPr>
        <w:t xml:space="preserve"> </w:t>
      </w:r>
      <w:proofErr w:type="spellStart"/>
      <w:r w:rsidRPr="006A13D8">
        <w:rPr>
          <w:rFonts w:ascii="Times New Roman" w:eastAsia="Times New Roman" w:hAnsi="Times New Roman" w:cs="Times New Roman"/>
          <w:sz w:val="24"/>
          <w:szCs w:val="24"/>
          <w:lang w:eastAsia="hu-HU"/>
        </w:rPr>
        <w:t>Lyonnais</w:t>
      </w:r>
      <w:proofErr w:type="spellEnd"/>
      <w:r w:rsidRPr="006A13D8">
        <w:rPr>
          <w:rFonts w:ascii="Times New Roman" w:eastAsia="Times New Roman" w:hAnsi="Times New Roman" w:cs="Times New Roman"/>
          <w:sz w:val="24"/>
          <w:szCs w:val="24"/>
          <w:lang w:eastAsia="hu-HU"/>
        </w:rPr>
        <w:t xml:space="preserve"> ítélet, C</w:t>
      </w:r>
      <w:r w:rsidRPr="006A13D8">
        <w:rPr>
          <w:rFonts w:ascii="Times New Roman" w:eastAsia="Times New Roman" w:hAnsi="Times New Roman" w:cs="Times New Roman"/>
          <w:sz w:val="24"/>
          <w:szCs w:val="24"/>
          <w:lang w:eastAsia="hu-HU"/>
        </w:rPr>
        <w:noBreakHyphen/>
        <w:t>565/12, EU:C:2014:190, 52. és 53. pont).</w:t>
      </w:r>
      <w:proofErr w:type="gramEnd"/>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67" w:name="point66"/>
      <w:r w:rsidRPr="006A13D8">
        <w:rPr>
          <w:rFonts w:ascii="Times New Roman" w:eastAsia="Times New Roman" w:hAnsi="Times New Roman" w:cs="Times New Roman"/>
          <w:sz w:val="24"/>
          <w:szCs w:val="24"/>
          <w:lang w:eastAsia="hu-HU"/>
        </w:rPr>
        <w:t>66</w:t>
      </w:r>
      <w:bookmarkEnd w:id="67"/>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A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megállapodásban az ezen hitel visszafizetésével és a hitellel összefüggő költségekkel kapcsolatos feltételekre vonatkozó egyes információk feltüntetésének elmulasztását illetően a Bíróság azt is megállapította, hogy tekintettel az 1998. február 16</w:t>
      </w:r>
      <w:r w:rsidRPr="006A13D8">
        <w:rPr>
          <w:rFonts w:ascii="Times New Roman" w:eastAsia="Times New Roman" w:hAnsi="Times New Roman" w:cs="Times New Roman"/>
          <w:sz w:val="24"/>
          <w:szCs w:val="24"/>
          <w:lang w:eastAsia="hu-HU"/>
        </w:rPr>
        <w:noBreakHyphen/>
        <w:t>i 98/7/EK európai parlamenti és tanácsi irányelvvel (HL 1998. L 101., 17. o.; magyar nyelvű különkiadás 15. fejezet, 4. kötet, 36. o.) módosított, a fogyasztói hitelre vonatkozó tagállami törvényi, rendeleti és közigazgatási rendelkezések közelítéséről szóló, 1986. december 22</w:t>
      </w:r>
      <w:r w:rsidRPr="006A13D8">
        <w:rPr>
          <w:rFonts w:ascii="Times New Roman" w:eastAsia="Times New Roman" w:hAnsi="Times New Roman" w:cs="Times New Roman"/>
          <w:sz w:val="24"/>
          <w:szCs w:val="24"/>
          <w:lang w:eastAsia="hu-HU"/>
        </w:rPr>
        <w:noBreakHyphen/>
        <w:t>i 87/102/EGK tanácsi irányelvvel (HL 1987. L 42., 48. o.; magyar nyelv</w:t>
      </w:r>
      <w:proofErr w:type="gramEnd"/>
      <w:r w:rsidRPr="006A13D8">
        <w:rPr>
          <w:rFonts w:ascii="Times New Roman" w:eastAsia="Times New Roman" w:hAnsi="Times New Roman" w:cs="Times New Roman"/>
          <w:sz w:val="24"/>
          <w:szCs w:val="24"/>
          <w:lang w:eastAsia="hu-HU"/>
        </w:rPr>
        <w:t xml:space="preserve">ű </w:t>
      </w:r>
      <w:proofErr w:type="gramStart"/>
      <w:r w:rsidRPr="006A13D8">
        <w:rPr>
          <w:rFonts w:ascii="Times New Roman" w:eastAsia="Times New Roman" w:hAnsi="Times New Roman" w:cs="Times New Roman"/>
          <w:sz w:val="24"/>
          <w:szCs w:val="24"/>
          <w:lang w:eastAsia="hu-HU"/>
        </w:rPr>
        <w:t>különkiadás 15. fejezet, 1. kötet, 326. o., a továbbiakban: 87/102 irányelv) követett fogyasztóvédelmi célra a tisztességtelen hitelfeltételekkel szemben és annak érdekében, hogy lehetővé tegyék az adós számára a megállapodás megkötésekor az aláírt megállapodás jövőbeli teljesítési feltételeinek teljes megismerését, az említett irányelv 4. cikke megkövetelte, hogy az adós mindazon tényezőknek az ismeretével rendelkezzen, amelyek kötelezettségvállalásának mértékére hatással lehetnek (lásd: 2015. július 9</w:t>
      </w:r>
      <w:r w:rsidRPr="006A13D8">
        <w:rPr>
          <w:rFonts w:ascii="Times New Roman" w:eastAsia="Times New Roman" w:hAnsi="Times New Roman" w:cs="Times New Roman"/>
          <w:sz w:val="24"/>
          <w:szCs w:val="24"/>
          <w:lang w:eastAsia="hu-HU"/>
        </w:rPr>
        <w:noBreakHyphen/>
        <w:t xml:space="preserve">i </w:t>
      </w:r>
      <w:proofErr w:type="spellStart"/>
      <w:r w:rsidRPr="006A13D8">
        <w:rPr>
          <w:rFonts w:ascii="Times New Roman" w:eastAsia="Times New Roman" w:hAnsi="Times New Roman" w:cs="Times New Roman"/>
          <w:sz w:val="24"/>
          <w:szCs w:val="24"/>
          <w:lang w:eastAsia="hu-HU"/>
        </w:rPr>
        <w:t>Bucura</w:t>
      </w:r>
      <w:r w:rsidRPr="006A13D8">
        <w:rPr>
          <w:rFonts w:ascii="Times New Roman" w:eastAsia="Times New Roman" w:hAnsi="Times New Roman" w:cs="Times New Roman"/>
          <w:sz w:val="24"/>
          <w:szCs w:val="24"/>
          <w:lang w:eastAsia="hu-HU"/>
        </w:rPr>
        <w:noBreakHyphen/>
        <w:t>ítélet</w:t>
      </w:r>
      <w:proofErr w:type="spellEnd"/>
      <w:r w:rsidRPr="006A13D8">
        <w:rPr>
          <w:rFonts w:ascii="Times New Roman" w:eastAsia="Times New Roman" w:hAnsi="Times New Roman" w:cs="Times New Roman"/>
          <w:sz w:val="24"/>
          <w:szCs w:val="24"/>
          <w:lang w:eastAsia="hu-HU"/>
        </w:rPr>
        <w:t>, C</w:t>
      </w:r>
      <w:r w:rsidRPr="006A13D8">
        <w:rPr>
          <w:rFonts w:ascii="Times New Roman" w:eastAsia="Times New Roman" w:hAnsi="Times New Roman" w:cs="Times New Roman"/>
          <w:sz w:val="24"/>
          <w:szCs w:val="24"/>
          <w:lang w:eastAsia="hu-HU"/>
        </w:rPr>
        <w:noBreakHyphen/>
        <w:t>348/14, nem tették közzé, EU:C:2015:447, 57. pont).</w:t>
      </w:r>
      <w:proofErr w:type="gramEnd"/>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68" w:name="point67"/>
      <w:r w:rsidRPr="006A13D8">
        <w:rPr>
          <w:rFonts w:ascii="Times New Roman" w:eastAsia="Times New Roman" w:hAnsi="Times New Roman" w:cs="Times New Roman"/>
          <w:sz w:val="24"/>
          <w:szCs w:val="24"/>
          <w:lang w:eastAsia="hu-HU"/>
        </w:rPr>
        <w:t>67</w:t>
      </w:r>
      <w:bookmarkEnd w:id="68"/>
      <w:r w:rsidRPr="006A13D8">
        <w:rPr>
          <w:rFonts w:ascii="Times New Roman" w:eastAsia="Times New Roman" w:hAnsi="Times New Roman" w:cs="Times New Roman"/>
          <w:sz w:val="24"/>
          <w:szCs w:val="24"/>
          <w:lang w:eastAsia="hu-HU"/>
        </w:rPr>
        <w:t>      Ezért valamely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megállapodásban a teljes</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hiteldíj</w:t>
      </w:r>
      <w:r w:rsidRPr="006A13D8">
        <w:rPr>
          <w:rFonts w:ascii="Times New Roman" w:eastAsia="Times New Roman" w:hAnsi="Times New Roman" w:cs="Times New Roman"/>
          <w:sz w:val="24"/>
          <w:szCs w:val="24"/>
          <w:lang w:eastAsia="hu-HU"/>
        </w:rPr>
        <w:noBreakHyphen/>
        <w:t>mutató feltüntetését a 87/102 irányelv összefüggésében alapvető fontossággal bírónak ítélték, különösen amennyiben az lehetővé teszi a fogyasztó számára kötelezettségvállalása mértékének értékelését (lásd ebben az értelemben: 2010. november 16</w:t>
      </w:r>
      <w:r w:rsidRPr="006A13D8">
        <w:rPr>
          <w:rFonts w:ascii="Times New Roman" w:eastAsia="Times New Roman" w:hAnsi="Times New Roman" w:cs="Times New Roman"/>
          <w:sz w:val="24"/>
          <w:szCs w:val="24"/>
          <w:lang w:eastAsia="hu-HU"/>
        </w:rPr>
        <w:noBreakHyphen/>
        <w:t xml:space="preserve">i </w:t>
      </w:r>
      <w:proofErr w:type="spellStart"/>
      <w:r w:rsidRPr="006A13D8">
        <w:rPr>
          <w:rFonts w:ascii="Times New Roman" w:eastAsia="Times New Roman" w:hAnsi="Times New Roman" w:cs="Times New Roman"/>
          <w:sz w:val="24"/>
          <w:szCs w:val="24"/>
          <w:lang w:eastAsia="hu-HU"/>
        </w:rPr>
        <w:t>Pohotovosť</w:t>
      </w:r>
      <w:proofErr w:type="spellEnd"/>
      <w:r w:rsidRPr="006A13D8">
        <w:rPr>
          <w:rFonts w:ascii="Times New Roman" w:eastAsia="Times New Roman" w:hAnsi="Times New Roman" w:cs="Times New Roman"/>
          <w:sz w:val="24"/>
          <w:szCs w:val="24"/>
          <w:lang w:eastAsia="hu-HU"/>
        </w:rPr>
        <w:t xml:space="preserve"> végzés, C</w:t>
      </w:r>
      <w:r w:rsidRPr="006A13D8">
        <w:rPr>
          <w:rFonts w:ascii="Times New Roman" w:eastAsia="Times New Roman" w:hAnsi="Times New Roman" w:cs="Times New Roman"/>
          <w:sz w:val="24"/>
          <w:szCs w:val="24"/>
          <w:lang w:eastAsia="hu-HU"/>
        </w:rPr>
        <w:noBreakHyphen/>
        <w:t>76/10, EU</w:t>
      </w:r>
      <w:proofErr w:type="gramStart"/>
      <w:r w:rsidRPr="006A13D8">
        <w:rPr>
          <w:rFonts w:ascii="Times New Roman" w:eastAsia="Times New Roman" w:hAnsi="Times New Roman" w:cs="Times New Roman"/>
          <w:sz w:val="24"/>
          <w:szCs w:val="24"/>
          <w:lang w:eastAsia="hu-HU"/>
        </w:rPr>
        <w:t>:C</w:t>
      </w:r>
      <w:proofErr w:type="gramEnd"/>
      <w:r w:rsidRPr="006A13D8">
        <w:rPr>
          <w:rFonts w:ascii="Times New Roman" w:eastAsia="Times New Roman" w:hAnsi="Times New Roman" w:cs="Times New Roman"/>
          <w:sz w:val="24"/>
          <w:szCs w:val="24"/>
          <w:lang w:eastAsia="hu-HU"/>
        </w:rPr>
        <w:t>:2010:685, 70. és 71. pont).</w:t>
      </w:r>
    </w:p>
    <w:p w:rsidR="006A13D8" w:rsidRPr="006A13D8" w:rsidRDefault="006A13D8" w:rsidP="00517F95">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69" w:name="point68"/>
      <w:r w:rsidRPr="006A13D8">
        <w:rPr>
          <w:rFonts w:ascii="Times New Roman" w:eastAsia="Times New Roman" w:hAnsi="Times New Roman" w:cs="Times New Roman"/>
          <w:sz w:val="24"/>
          <w:szCs w:val="24"/>
          <w:lang w:eastAsia="hu-HU"/>
        </w:rPr>
        <w:t>68</w:t>
      </w:r>
      <w:bookmarkEnd w:id="69"/>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Márpedig a 87/102 irányelvet úgy értelmezték, hogy az lehetővé teszi a nemzeti bíróság számára, hogy hivatalból alkalmazza az ezen irányelv 4. cikkét a belső jogba átültető és azt előíró rendelkezéseket, hogy valamely fogyasztói hitel</w:t>
      </w:r>
      <w:r w:rsidR="00517F95">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 xml:space="preserve">megállapodásban a </w:t>
      </w:r>
      <w:proofErr w:type="spellStart"/>
      <w:r w:rsidRPr="006A13D8">
        <w:rPr>
          <w:rFonts w:ascii="Times New Roman" w:eastAsia="Times New Roman" w:hAnsi="Times New Roman" w:cs="Times New Roman"/>
          <w:sz w:val="24"/>
          <w:szCs w:val="24"/>
          <w:lang w:eastAsia="hu-HU"/>
        </w:rPr>
        <w:t>teljeshiteldíj</w:t>
      </w:r>
      <w:r w:rsidRPr="006A13D8">
        <w:rPr>
          <w:rFonts w:ascii="Times New Roman" w:eastAsia="Times New Roman" w:hAnsi="Times New Roman" w:cs="Times New Roman"/>
          <w:sz w:val="24"/>
          <w:szCs w:val="24"/>
          <w:lang w:eastAsia="hu-HU"/>
        </w:rPr>
        <w:noBreakHyphen/>
        <w:t>mutató</w:t>
      </w:r>
      <w:proofErr w:type="spellEnd"/>
      <w:r w:rsidRPr="006A13D8">
        <w:rPr>
          <w:rFonts w:ascii="Times New Roman" w:eastAsia="Times New Roman" w:hAnsi="Times New Roman" w:cs="Times New Roman"/>
          <w:sz w:val="24"/>
          <w:szCs w:val="24"/>
          <w:lang w:eastAsia="hu-HU"/>
        </w:rPr>
        <w:t xml:space="preserve"> feltüntetésének elmulasztása azzal a következménnyel jár, hogy a nyújtott hitelt kamat</w:t>
      </w:r>
      <w:r w:rsidRPr="006A13D8">
        <w:rPr>
          <w:rFonts w:ascii="Times New Roman" w:eastAsia="Times New Roman" w:hAnsi="Times New Roman" w:cs="Times New Roman"/>
          <w:sz w:val="24"/>
          <w:szCs w:val="24"/>
          <w:lang w:eastAsia="hu-HU"/>
        </w:rPr>
        <w:noBreakHyphen/>
        <w:t xml:space="preserve"> és költségmentesnek kell tekinteni (lásd ebben az értelemben: 2010. november 16</w:t>
      </w:r>
      <w:r w:rsidRPr="006A13D8">
        <w:rPr>
          <w:rFonts w:ascii="Times New Roman" w:eastAsia="Times New Roman" w:hAnsi="Times New Roman" w:cs="Times New Roman"/>
          <w:sz w:val="24"/>
          <w:szCs w:val="24"/>
          <w:lang w:eastAsia="hu-HU"/>
        </w:rPr>
        <w:noBreakHyphen/>
        <w:t xml:space="preserve">i </w:t>
      </w:r>
      <w:proofErr w:type="spellStart"/>
      <w:r w:rsidRPr="006A13D8">
        <w:rPr>
          <w:rFonts w:ascii="Times New Roman" w:eastAsia="Times New Roman" w:hAnsi="Times New Roman" w:cs="Times New Roman"/>
          <w:sz w:val="24"/>
          <w:szCs w:val="24"/>
          <w:lang w:eastAsia="hu-HU"/>
        </w:rPr>
        <w:t>Pohotovosť</w:t>
      </w:r>
      <w:proofErr w:type="spellEnd"/>
      <w:r w:rsidRPr="006A13D8">
        <w:rPr>
          <w:rFonts w:ascii="Times New Roman" w:eastAsia="Times New Roman" w:hAnsi="Times New Roman" w:cs="Times New Roman"/>
          <w:sz w:val="24"/>
          <w:szCs w:val="24"/>
          <w:lang w:eastAsia="hu-HU"/>
        </w:rPr>
        <w:t xml:space="preserve"> végzés, C</w:t>
      </w:r>
      <w:r w:rsidRPr="006A13D8">
        <w:rPr>
          <w:rFonts w:ascii="Times New Roman" w:eastAsia="Times New Roman" w:hAnsi="Times New Roman" w:cs="Times New Roman"/>
          <w:sz w:val="24"/>
          <w:szCs w:val="24"/>
          <w:lang w:eastAsia="hu-HU"/>
        </w:rPr>
        <w:noBreakHyphen/>
        <w:t>76/10, EU:C:2010:685, 76. pont).</w:t>
      </w:r>
      <w:proofErr w:type="gramEnd"/>
    </w:p>
    <w:p w:rsidR="006A13D8" w:rsidRPr="006A13D8" w:rsidRDefault="006A13D8" w:rsidP="00170A03">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70" w:name="point69"/>
      <w:r w:rsidRPr="006A13D8">
        <w:rPr>
          <w:rFonts w:ascii="Times New Roman" w:eastAsia="Times New Roman" w:hAnsi="Times New Roman" w:cs="Times New Roman"/>
          <w:sz w:val="24"/>
          <w:szCs w:val="24"/>
          <w:lang w:eastAsia="hu-HU"/>
        </w:rPr>
        <w:t>69</w:t>
      </w:r>
      <w:bookmarkEnd w:id="70"/>
      <w:r w:rsidRPr="006A13D8">
        <w:rPr>
          <w:rFonts w:ascii="Times New Roman" w:eastAsia="Times New Roman" w:hAnsi="Times New Roman" w:cs="Times New Roman"/>
          <w:sz w:val="24"/>
          <w:szCs w:val="24"/>
          <w:lang w:eastAsia="hu-HU"/>
        </w:rPr>
        <w:t>      A jelen ítélet 63–68. pontjában érintett ítélkezési gyakorlat tükrében meg kell állapítani, hogy a 2008/48 irányelv összefüggésében alapvető fontossággal bíró kötelezettség hitelező általi megsértését a nemzeti szabályozásnak megfelelően szankcionálni lehet e hitelező kamat</w:t>
      </w:r>
      <w:r w:rsidRPr="006A13D8">
        <w:rPr>
          <w:rFonts w:ascii="Times New Roman" w:eastAsia="Times New Roman" w:hAnsi="Times New Roman" w:cs="Times New Roman"/>
          <w:sz w:val="24"/>
          <w:szCs w:val="24"/>
          <w:lang w:eastAsia="hu-HU"/>
        </w:rPr>
        <w:noBreakHyphen/>
        <w:t xml:space="preserve"> és költségköveteléstől való megfosztásával.</w:t>
      </w:r>
    </w:p>
    <w:p w:rsidR="006A13D8" w:rsidRPr="006A13D8" w:rsidRDefault="006A13D8" w:rsidP="00170A03">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71" w:name="point70"/>
      <w:r w:rsidRPr="006A13D8">
        <w:rPr>
          <w:rFonts w:ascii="Times New Roman" w:eastAsia="Times New Roman" w:hAnsi="Times New Roman" w:cs="Times New Roman"/>
          <w:sz w:val="24"/>
          <w:szCs w:val="24"/>
          <w:lang w:eastAsia="hu-HU"/>
        </w:rPr>
        <w:t>70</w:t>
      </w:r>
      <w:bookmarkEnd w:id="71"/>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Ilyen alapvető fontossággal bír a hitel</w:t>
      </w:r>
      <w:r w:rsidR="00170A03">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megállapodásban többek között az olyan tartalmi elemek feltüntetésére vonatkozó kötelezettség mint a 2008/48 irányelv 10. cikke (2) bekezdésének g) pontjában említett teljes</w:t>
      </w:r>
      <w:r w:rsidR="00170A03">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hiteldíj</w:t>
      </w:r>
      <w:r w:rsidRPr="006A13D8">
        <w:rPr>
          <w:rFonts w:ascii="Times New Roman" w:eastAsia="Times New Roman" w:hAnsi="Times New Roman" w:cs="Times New Roman"/>
          <w:sz w:val="24"/>
          <w:szCs w:val="24"/>
          <w:lang w:eastAsia="hu-HU"/>
        </w:rPr>
        <w:noBreakHyphen/>
        <w:t xml:space="preserve">mutató, az ezen irányelv 10. cikke (2) bekezdése h) pontjának megfelelően a fizetések száma és gyakorisága, valamint adott </w:t>
      </w:r>
      <w:r w:rsidRPr="006A13D8">
        <w:rPr>
          <w:rFonts w:ascii="Times New Roman" w:eastAsia="Times New Roman" w:hAnsi="Times New Roman" w:cs="Times New Roman"/>
          <w:sz w:val="24"/>
          <w:szCs w:val="24"/>
          <w:lang w:eastAsia="hu-HU"/>
        </w:rPr>
        <w:lastRenderedPageBreak/>
        <w:t>esetben a közjegyzői díjak, az előírt garanciák és biztosítás létezése, amint azt az említett irányelv 10. cikke (2) bekezdésének n) és o) pontja előírja.</w:t>
      </w:r>
      <w:proofErr w:type="gramEnd"/>
    </w:p>
    <w:p w:rsidR="006A13D8" w:rsidRPr="006A13D8" w:rsidRDefault="006A13D8" w:rsidP="00170A03">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72" w:name="point71"/>
      <w:r w:rsidRPr="006A13D8">
        <w:rPr>
          <w:rFonts w:ascii="Times New Roman" w:eastAsia="Times New Roman" w:hAnsi="Times New Roman" w:cs="Times New Roman"/>
          <w:sz w:val="24"/>
          <w:szCs w:val="24"/>
          <w:lang w:eastAsia="hu-HU"/>
        </w:rPr>
        <w:t>71</w:t>
      </w:r>
      <w:bookmarkEnd w:id="72"/>
      <w:r w:rsidRPr="006A13D8">
        <w:rPr>
          <w:rFonts w:ascii="Times New Roman" w:eastAsia="Times New Roman" w:hAnsi="Times New Roman" w:cs="Times New Roman"/>
          <w:sz w:val="24"/>
          <w:szCs w:val="24"/>
          <w:lang w:eastAsia="hu-HU"/>
        </w:rPr>
        <w:t xml:space="preserve">      Amennyiben </w:t>
      </w:r>
      <w:proofErr w:type="gramStart"/>
      <w:r w:rsidRPr="006A13D8">
        <w:rPr>
          <w:rFonts w:ascii="Times New Roman" w:eastAsia="Times New Roman" w:hAnsi="Times New Roman" w:cs="Times New Roman"/>
          <w:sz w:val="24"/>
          <w:szCs w:val="24"/>
          <w:lang w:eastAsia="hu-HU"/>
        </w:rPr>
        <w:t>ezen</w:t>
      </w:r>
      <w:proofErr w:type="gramEnd"/>
      <w:r w:rsidRPr="006A13D8">
        <w:rPr>
          <w:rFonts w:ascii="Times New Roman" w:eastAsia="Times New Roman" w:hAnsi="Times New Roman" w:cs="Times New Roman"/>
          <w:sz w:val="24"/>
          <w:szCs w:val="24"/>
          <w:lang w:eastAsia="hu-HU"/>
        </w:rPr>
        <w:t xml:space="preserve"> tartalmi elemek hitel</w:t>
      </w:r>
      <w:r w:rsidR="00170A03">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megállapodásban való feltüntetésének hiánya kétségessé teheti a fogyasztó azon lehetőségét, hogy a kötelezettségvállalásának mértékét értékelje, a hitelezőnek a kamat</w:t>
      </w:r>
      <w:r w:rsidRPr="006A13D8">
        <w:rPr>
          <w:rFonts w:ascii="Times New Roman" w:eastAsia="Times New Roman" w:hAnsi="Times New Roman" w:cs="Times New Roman"/>
          <w:sz w:val="24"/>
          <w:szCs w:val="24"/>
          <w:lang w:eastAsia="hu-HU"/>
        </w:rPr>
        <w:noBreakHyphen/>
        <w:t xml:space="preserve"> és költségkövetelésétől való megfosztással járó, a nemzeti szabályozással előírt szankciót a 2008/48 irányelv 23. cikke, valamint a jelen ítélet 63. pontjában felidézett ítélkezési gyakorlat értelmében arányosnak kell tekinteni.</w:t>
      </w:r>
    </w:p>
    <w:p w:rsidR="006A13D8" w:rsidRPr="006A13D8" w:rsidRDefault="006A13D8" w:rsidP="00170A03">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73" w:name="point72"/>
      <w:r w:rsidRPr="006A13D8">
        <w:rPr>
          <w:rFonts w:ascii="Times New Roman" w:eastAsia="Times New Roman" w:hAnsi="Times New Roman" w:cs="Times New Roman"/>
          <w:sz w:val="24"/>
          <w:szCs w:val="24"/>
          <w:lang w:eastAsia="hu-HU"/>
        </w:rPr>
        <w:t>72</w:t>
      </w:r>
      <w:bookmarkEnd w:id="73"/>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Ugyanakkor e nemzeti szabályozásnak megfelelően nem tekinthető arányosnak az ilyen szankció alkalmazása, amely súlyos következményekkel jár a hitelezőre a 2008/48 irányelv 10. cikkének (2) bekezdésében említettek közül olyan tartalmi elemek feltüntetésének hiányában, amelyek jellegüknél fogva nem érinthetik a fogyasztó kötelezettségvállalása mértékének értékelésével kapcsolatos képességét, ilyen tartalmi elemek különösen az ezen irányelv 10. cikke (2) bekezdésének v) pontjában említett, az illetékes felügyeleti hatóság neve és címe.</w:t>
      </w:r>
      <w:proofErr w:type="gramEnd"/>
    </w:p>
    <w:p w:rsidR="006A13D8" w:rsidRPr="006A13D8" w:rsidRDefault="006A13D8" w:rsidP="00170A03">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74" w:name="point73"/>
      <w:r w:rsidRPr="006A13D8">
        <w:rPr>
          <w:rFonts w:ascii="Times New Roman" w:eastAsia="Times New Roman" w:hAnsi="Times New Roman" w:cs="Times New Roman"/>
          <w:sz w:val="24"/>
          <w:szCs w:val="24"/>
          <w:lang w:eastAsia="hu-HU"/>
        </w:rPr>
        <w:t>73</w:t>
      </w:r>
      <w:bookmarkEnd w:id="74"/>
      <w:r w:rsidRPr="006A13D8">
        <w:rPr>
          <w:rFonts w:ascii="Times New Roman" w:eastAsia="Times New Roman" w:hAnsi="Times New Roman" w:cs="Times New Roman"/>
          <w:sz w:val="24"/>
          <w:szCs w:val="24"/>
          <w:lang w:eastAsia="hu-HU"/>
        </w:rPr>
        <w:t>      </w:t>
      </w:r>
      <w:proofErr w:type="gramStart"/>
      <w:r w:rsidRPr="006A13D8">
        <w:rPr>
          <w:rFonts w:ascii="Times New Roman" w:eastAsia="Times New Roman" w:hAnsi="Times New Roman" w:cs="Times New Roman"/>
          <w:sz w:val="24"/>
          <w:szCs w:val="24"/>
          <w:lang w:eastAsia="hu-HU"/>
        </w:rPr>
        <w:t>Ilyen feltételek mellett a hetedik kérdésre azt a választ kell adni, hogy a 2008/48 irányelv 23. cikkét úgy kell értelmezni, hogy azzal nem ellentétes, hogy valamely tagállam nemzeti szabályozásában előírja, hogy amennyiben valamely hitel</w:t>
      </w:r>
      <w:r w:rsidR="00170A03">
        <w:rPr>
          <w:rFonts w:ascii="Times New Roman" w:eastAsia="Times New Roman" w:hAnsi="Times New Roman" w:cs="Times New Roman"/>
          <w:sz w:val="24"/>
          <w:szCs w:val="24"/>
          <w:lang w:eastAsia="hu-HU"/>
        </w:rPr>
        <w:t xml:space="preserve"> </w:t>
      </w:r>
      <w:r w:rsidRPr="006A13D8">
        <w:rPr>
          <w:rFonts w:ascii="Times New Roman" w:eastAsia="Times New Roman" w:hAnsi="Times New Roman" w:cs="Times New Roman"/>
          <w:sz w:val="24"/>
          <w:szCs w:val="24"/>
          <w:lang w:eastAsia="hu-HU"/>
        </w:rPr>
        <w:t>megállapodás nem tartalmazza az ezen irányelv 10. cikkének (2) bekezdésében megkövetelt összes tartalmi elemet, úgy ezt a megállapodást kamat</w:t>
      </w:r>
      <w:r w:rsidRPr="006A13D8">
        <w:rPr>
          <w:rFonts w:ascii="Times New Roman" w:eastAsia="Times New Roman" w:hAnsi="Times New Roman" w:cs="Times New Roman"/>
          <w:sz w:val="24"/>
          <w:szCs w:val="24"/>
          <w:lang w:eastAsia="hu-HU"/>
        </w:rPr>
        <w:noBreakHyphen/>
        <w:t xml:space="preserve"> és költségmentesnek kell tekinteni, ha olyan tartalmi elemről van szó, amelynek hiánya kétségessé teheti a fogyasztó azon lehetőségének meglétét, hogy a kötelezettségvállalásának mértékét értékelje.</w:t>
      </w:r>
      <w:proofErr w:type="gramEnd"/>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b/>
          <w:bCs/>
          <w:sz w:val="24"/>
          <w:szCs w:val="24"/>
          <w:lang w:eastAsia="hu-HU"/>
        </w:rPr>
        <w:t>A költségekről</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bookmarkStart w:id="75" w:name="point74"/>
      <w:r w:rsidRPr="006A13D8">
        <w:rPr>
          <w:rFonts w:ascii="Times New Roman" w:eastAsia="Times New Roman" w:hAnsi="Times New Roman" w:cs="Times New Roman"/>
          <w:sz w:val="24"/>
          <w:szCs w:val="24"/>
          <w:lang w:eastAsia="hu-HU"/>
        </w:rPr>
        <w:t>74</w:t>
      </w:r>
      <w:bookmarkEnd w:id="75"/>
      <w:r w:rsidRPr="006A13D8">
        <w:rPr>
          <w:rFonts w:ascii="Times New Roman" w:eastAsia="Times New Roman" w:hAnsi="Times New Roman" w:cs="Times New Roman"/>
          <w:sz w:val="24"/>
          <w:szCs w:val="24"/>
          <w:lang w:eastAsia="hu-HU"/>
        </w:rPr>
        <w:t>      Mivel ez az eljárás az alapeljárásban részt vevő felek számára a kérdést előterjesztő bíróság előtt folyamatban lévő eljárás egy szakaszát képezi, ez a bíróság dönt a költségekről. Az észrevételeknek a Bíróság elé terjesztésével kapcsolatban felmerült költségek, az említett felek költségeinek kivételével, nem téríthetők meg.</w:t>
      </w:r>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A fenti indokok alapján a Bíróság (harmadik tanács) a következőképpen határozott:</w:t>
      </w:r>
    </w:p>
    <w:p w:rsidR="006A13D8" w:rsidRPr="006A13D8" w:rsidRDefault="006A13D8" w:rsidP="00170A0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1)      </w:t>
      </w:r>
      <w:r w:rsidRPr="006A13D8">
        <w:rPr>
          <w:rFonts w:ascii="Times New Roman" w:eastAsia="Times New Roman" w:hAnsi="Times New Roman" w:cs="Times New Roman"/>
          <w:b/>
          <w:bCs/>
          <w:sz w:val="24"/>
          <w:szCs w:val="24"/>
          <w:lang w:eastAsia="hu-HU"/>
        </w:rPr>
        <w:t>A fogyasztói hitel</w:t>
      </w:r>
      <w:r w:rsidR="00170A03">
        <w:rPr>
          <w:rFonts w:ascii="Times New Roman" w:eastAsia="Times New Roman" w:hAnsi="Times New Roman" w:cs="Times New Roman"/>
          <w:b/>
          <w:bCs/>
          <w:sz w:val="24"/>
          <w:szCs w:val="24"/>
          <w:lang w:eastAsia="hu-HU"/>
        </w:rPr>
        <w:t xml:space="preserve"> </w:t>
      </w:r>
      <w:r w:rsidRPr="006A13D8">
        <w:rPr>
          <w:rFonts w:ascii="Times New Roman" w:eastAsia="Times New Roman" w:hAnsi="Times New Roman" w:cs="Times New Roman"/>
          <w:b/>
          <w:bCs/>
          <w:sz w:val="24"/>
          <w:szCs w:val="24"/>
          <w:lang w:eastAsia="hu-HU"/>
        </w:rPr>
        <w:t>megállapodásokról és a 87/102/EGK tanácsi irányelv hatályon kívül helyezéséről szóló, 2008. április 23</w:t>
      </w:r>
      <w:r w:rsidRPr="006A13D8">
        <w:rPr>
          <w:rFonts w:ascii="Times New Roman" w:eastAsia="Times New Roman" w:hAnsi="Times New Roman" w:cs="Times New Roman"/>
          <w:b/>
          <w:bCs/>
          <w:sz w:val="24"/>
          <w:szCs w:val="24"/>
          <w:lang w:eastAsia="hu-HU"/>
        </w:rPr>
        <w:noBreakHyphen/>
        <w:t>i 2008/48/EK európai parlamenti és tanácsi irányelv 10. cikkének (1) és (2) bekezdését – ezen irányelv 3. cikkének m) pontjával összefüggésben – a következőképpen kell értelmezni:</w:t>
      </w:r>
    </w:p>
    <w:p w:rsidR="006A13D8" w:rsidRPr="006A13D8" w:rsidRDefault="006A13D8" w:rsidP="00170A0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b/>
          <w:bCs/>
          <w:sz w:val="24"/>
          <w:szCs w:val="24"/>
          <w:lang w:eastAsia="hu-HU"/>
        </w:rPr>
        <w:t>a hitel</w:t>
      </w:r>
      <w:r w:rsidR="00170A03">
        <w:rPr>
          <w:rFonts w:ascii="Times New Roman" w:eastAsia="Times New Roman" w:hAnsi="Times New Roman" w:cs="Times New Roman"/>
          <w:b/>
          <w:bCs/>
          <w:sz w:val="24"/>
          <w:szCs w:val="24"/>
          <w:lang w:eastAsia="hu-HU"/>
        </w:rPr>
        <w:t xml:space="preserve"> </w:t>
      </w:r>
      <w:r w:rsidRPr="006A13D8">
        <w:rPr>
          <w:rFonts w:ascii="Times New Roman" w:eastAsia="Times New Roman" w:hAnsi="Times New Roman" w:cs="Times New Roman"/>
          <w:b/>
          <w:bCs/>
          <w:sz w:val="24"/>
          <w:szCs w:val="24"/>
          <w:lang w:eastAsia="hu-HU"/>
        </w:rPr>
        <w:t>megállapodást nem kell szükségszerűen egyetlen dokumentumban elkészíteni, azonban az ezen irányelv 10. cikkének (2) bekezdésében említett összes tartalmi elemet nyomtatott formában vagy más tartós adathordozón kell elkészíteni;</w:t>
      </w:r>
    </w:p>
    <w:p w:rsidR="006A13D8" w:rsidRPr="006A13D8" w:rsidRDefault="006A13D8" w:rsidP="00170A0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        </w:t>
      </w:r>
      <w:r w:rsidRPr="006A13D8">
        <w:rPr>
          <w:rFonts w:ascii="Times New Roman" w:eastAsia="Times New Roman" w:hAnsi="Times New Roman" w:cs="Times New Roman"/>
          <w:b/>
          <w:bCs/>
          <w:sz w:val="24"/>
          <w:szCs w:val="24"/>
          <w:lang w:eastAsia="hu-HU"/>
        </w:rPr>
        <w:t>az irányelvvel nem ellentétes, hogy a tagállam nemzeti szabályozásában előírja egyrészt azt, hogy a 2008/48 irányelv hatálya alá tartozó, és nyomtatott formában elkészített hitel</w:t>
      </w:r>
      <w:r w:rsidR="00170A03">
        <w:rPr>
          <w:rFonts w:ascii="Times New Roman" w:eastAsia="Times New Roman" w:hAnsi="Times New Roman" w:cs="Times New Roman"/>
          <w:b/>
          <w:bCs/>
          <w:sz w:val="24"/>
          <w:szCs w:val="24"/>
          <w:lang w:eastAsia="hu-HU"/>
        </w:rPr>
        <w:t xml:space="preserve"> </w:t>
      </w:r>
      <w:r w:rsidRPr="006A13D8">
        <w:rPr>
          <w:rFonts w:ascii="Times New Roman" w:eastAsia="Times New Roman" w:hAnsi="Times New Roman" w:cs="Times New Roman"/>
          <w:b/>
          <w:bCs/>
          <w:sz w:val="24"/>
          <w:szCs w:val="24"/>
          <w:lang w:eastAsia="hu-HU"/>
        </w:rPr>
        <w:t xml:space="preserve">megállapodást a feleknek alá kell írniuk, másrészt pedig azt, hogy az aláírásra vonatkozó </w:t>
      </w:r>
      <w:proofErr w:type="gramStart"/>
      <w:r w:rsidRPr="006A13D8">
        <w:rPr>
          <w:rFonts w:ascii="Times New Roman" w:eastAsia="Times New Roman" w:hAnsi="Times New Roman" w:cs="Times New Roman"/>
          <w:b/>
          <w:bCs/>
          <w:sz w:val="24"/>
          <w:szCs w:val="24"/>
          <w:lang w:eastAsia="hu-HU"/>
        </w:rPr>
        <w:t>ezen</w:t>
      </w:r>
      <w:proofErr w:type="gramEnd"/>
      <w:r w:rsidRPr="006A13D8">
        <w:rPr>
          <w:rFonts w:ascii="Times New Roman" w:eastAsia="Times New Roman" w:hAnsi="Times New Roman" w:cs="Times New Roman"/>
          <w:b/>
          <w:bCs/>
          <w:sz w:val="24"/>
          <w:szCs w:val="24"/>
          <w:lang w:eastAsia="hu-HU"/>
        </w:rPr>
        <w:t xml:space="preserve"> követelmény az említett megállapodás ezen irányelv 10. cikkének (2) bekezdésében előírt összes tartalmi elemére alkalmazandó.</w:t>
      </w:r>
    </w:p>
    <w:p w:rsidR="006A13D8" w:rsidRPr="006A13D8" w:rsidRDefault="006A13D8" w:rsidP="00170A0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lastRenderedPageBreak/>
        <w:t>2)      </w:t>
      </w:r>
      <w:r w:rsidRPr="006A13D8">
        <w:rPr>
          <w:rFonts w:ascii="Times New Roman" w:eastAsia="Times New Roman" w:hAnsi="Times New Roman" w:cs="Times New Roman"/>
          <w:b/>
          <w:bCs/>
          <w:sz w:val="24"/>
          <w:szCs w:val="24"/>
          <w:lang w:eastAsia="hu-HU"/>
        </w:rPr>
        <w:t>A 2008/48 irányelv 10. cikke (2) bekezdésének h) pontját úgy kell értelmezni, hogy nem szükséges, hogy a hitel</w:t>
      </w:r>
      <w:r w:rsidR="00170A03">
        <w:rPr>
          <w:rFonts w:ascii="Times New Roman" w:eastAsia="Times New Roman" w:hAnsi="Times New Roman" w:cs="Times New Roman"/>
          <w:b/>
          <w:bCs/>
          <w:sz w:val="24"/>
          <w:szCs w:val="24"/>
          <w:lang w:eastAsia="hu-HU"/>
        </w:rPr>
        <w:t xml:space="preserve"> </w:t>
      </w:r>
      <w:r w:rsidRPr="006A13D8">
        <w:rPr>
          <w:rFonts w:ascii="Times New Roman" w:eastAsia="Times New Roman" w:hAnsi="Times New Roman" w:cs="Times New Roman"/>
          <w:b/>
          <w:bCs/>
          <w:sz w:val="24"/>
          <w:szCs w:val="24"/>
          <w:lang w:eastAsia="hu-HU"/>
        </w:rPr>
        <w:t>megállapodás a fogyasztó által teljesítendő fizetések minden egyes esedékességét konkrét időpontra való hivatkozással jelölje meg, amennyiben e megállapodás feltételei lehetővé teszik az említett fogyasztó számára e fizetések időpontjainak nehézség nélküli és bizonyossággal történő azonosítását.</w:t>
      </w:r>
    </w:p>
    <w:p w:rsidR="006A13D8" w:rsidRPr="006A13D8" w:rsidRDefault="006A13D8" w:rsidP="00170A0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3)      </w:t>
      </w:r>
      <w:r w:rsidRPr="006A13D8">
        <w:rPr>
          <w:rFonts w:ascii="Times New Roman" w:eastAsia="Times New Roman" w:hAnsi="Times New Roman" w:cs="Times New Roman"/>
          <w:b/>
          <w:bCs/>
          <w:sz w:val="24"/>
          <w:szCs w:val="24"/>
          <w:lang w:eastAsia="hu-HU"/>
        </w:rPr>
        <w:t>A 2008/48 irányelv 10. cikke (2) bekezdésének h) és i) pontját úgy kell értelmezni, hogy az olyan határozott idejű hitel</w:t>
      </w:r>
      <w:r w:rsidR="00170A03">
        <w:rPr>
          <w:rFonts w:ascii="Times New Roman" w:eastAsia="Times New Roman" w:hAnsi="Times New Roman" w:cs="Times New Roman"/>
          <w:b/>
          <w:bCs/>
          <w:sz w:val="24"/>
          <w:szCs w:val="24"/>
          <w:lang w:eastAsia="hu-HU"/>
        </w:rPr>
        <w:t xml:space="preserve"> </w:t>
      </w:r>
      <w:r w:rsidRPr="006A13D8">
        <w:rPr>
          <w:rFonts w:ascii="Times New Roman" w:eastAsia="Times New Roman" w:hAnsi="Times New Roman" w:cs="Times New Roman"/>
          <w:b/>
          <w:bCs/>
          <w:sz w:val="24"/>
          <w:szCs w:val="24"/>
          <w:lang w:eastAsia="hu-HU"/>
        </w:rPr>
        <w:t>megállapodásnak, amely előírja a tőke egymást követő fizetésekkel való törlesztését, nem kell törlesztési táblázat formájában pontosítania az egyes fizetéseknek e tőke visszafizetését szolgáló részét. Az ezen irányelv 22. cikkének (1) bekezdésével összefüggésben értelmezett e rendelkezésekkel ellentétes az, hogy a tagállam nemzeti szabályozásában ilyen kötelezettséget ír elő.</w:t>
      </w:r>
    </w:p>
    <w:p w:rsidR="006A13D8" w:rsidRPr="006A13D8" w:rsidRDefault="006A13D8" w:rsidP="00170A0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4)      </w:t>
      </w:r>
      <w:proofErr w:type="gramStart"/>
      <w:r w:rsidRPr="006A13D8">
        <w:rPr>
          <w:rFonts w:ascii="Times New Roman" w:eastAsia="Times New Roman" w:hAnsi="Times New Roman" w:cs="Times New Roman"/>
          <w:b/>
          <w:bCs/>
          <w:sz w:val="24"/>
          <w:szCs w:val="24"/>
          <w:lang w:eastAsia="hu-HU"/>
        </w:rPr>
        <w:t xml:space="preserve">A 2008/48 irányelv 23. cikkét úgy kell értelmezni, hogy azzal nem ellentétes, hogy valamely tagállam nemzeti szabályozásában előírja, hogy amennyiben valamely </w:t>
      </w:r>
      <w:proofErr w:type="spellStart"/>
      <w:r w:rsidRPr="006A13D8">
        <w:rPr>
          <w:rFonts w:ascii="Times New Roman" w:eastAsia="Times New Roman" w:hAnsi="Times New Roman" w:cs="Times New Roman"/>
          <w:b/>
          <w:bCs/>
          <w:sz w:val="24"/>
          <w:szCs w:val="24"/>
          <w:lang w:eastAsia="hu-HU"/>
        </w:rPr>
        <w:t>hitelmegállapodás</w:t>
      </w:r>
      <w:proofErr w:type="spellEnd"/>
      <w:r w:rsidRPr="006A13D8">
        <w:rPr>
          <w:rFonts w:ascii="Times New Roman" w:eastAsia="Times New Roman" w:hAnsi="Times New Roman" w:cs="Times New Roman"/>
          <w:b/>
          <w:bCs/>
          <w:sz w:val="24"/>
          <w:szCs w:val="24"/>
          <w:lang w:eastAsia="hu-HU"/>
        </w:rPr>
        <w:t xml:space="preserve"> nem tartalmazza az ezen irányelv 10. cikkének (2) bekezdésében megkövetelt összes tartalmi elemet, úgy ezt a megállapodást kamat</w:t>
      </w:r>
      <w:r w:rsidRPr="006A13D8">
        <w:rPr>
          <w:rFonts w:ascii="Times New Roman" w:eastAsia="Times New Roman" w:hAnsi="Times New Roman" w:cs="Times New Roman"/>
          <w:b/>
          <w:bCs/>
          <w:sz w:val="24"/>
          <w:szCs w:val="24"/>
          <w:lang w:eastAsia="hu-HU"/>
        </w:rPr>
        <w:noBreakHyphen/>
        <w:t xml:space="preserve"> és költségmentesnek kell tekinteni, ha olyan tartalmi elemről van szó, amelynek hiánya kétségessé teheti a fogyasztó azon lehetőségének meglétét, hogy a kötelezettségvállalásának mértékét értékelje.</w:t>
      </w:r>
      <w:proofErr w:type="gramEnd"/>
    </w:p>
    <w:p w:rsidR="006A13D8" w:rsidRPr="006A13D8" w:rsidRDefault="006A13D8"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t>Aláírások</w:t>
      </w:r>
    </w:p>
    <w:p w:rsidR="006A13D8" w:rsidRPr="006A13D8" w:rsidRDefault="00C0699E" w:rsidP="006A13D8">
      <w:pPr>
        <w:spacing w:after="0" w:line="240" w:lineRule="auto"/>
        <w:rPr>
          <w:rFonts w:ascii="Times New Roman" w:eastAsia="Times New Roman" w:hAnsi="Times New Roman" w:cs="Times New Roman"/>
          <w:sz w:val="24"/>
          <w:szCs w:val="24"/>
          <w:lang w:eastAsia="hu-HU"/>
        </w:rPr>
      </w:pPr>
      <w:r w:rsidRPr="00C0699E">
        <w:rPr>
          <w:rFonts w:ascii="Times New Roman" w:eastAsia="Times New Roman" w:hAnsi="Times New Roman" w:cs="Times New Roman"/>
          <w:sz w:val="24"/>
          <w:szCs w:val="24"/>
          <w:lang w:eastAsia="hu-HU"/>
        </w:rPr>
        <w:pict>
          <v:rect id="_x0000_i1025" style="width:0;height:1.5pt" o:hralign="center" o:hrstd="t" o:hr="t" fillcolor="#a0a0a0" stroked="f"/>
        </w:pict>
      </w:r>
    </w:p>
    <w:bookmarkStart w:id="76" w:name="Footnote*"/>
    <w:p w:rsidR="006A13D8" w:rsidRPr="006A13D8" w:rsidRDefault="00C0699E" w:rsidP="006A13D8">
      <w:pPr>
        <w:spacing w:before="100" w:beforeAutospacing="1" w:after="100" w:afterAutospacing="1" w:line="240" w:lineRule="auto"/>
        <w:rPr>
          <w:rFonts w:ascii="Times New Roman" w:eastAsia="Times New Roman" w:hAnsi="Times New Roman" w:cs="Times New Roman"/>
          <w:sz w:val="24"/>
          <w:szCs w:val="24"/>
          <w:lang w:eastAsia="hu-HU"/>
        </w:rPr>
      </w:pPr>
      <w:r w:rsidRPr="006A13D8">
        <w:rPr>
          <w:rFonts w:ascii="Times New Roman" w:eastAsia="Times New Roman" w:hAnsi="Times New Roman" w:cs="Times New Roman"/>
          <w:sz w:val="24"/>
          <w:szCs w:val="24"/>
          <w:lang w:eastAsia="hu-HU"/>
        </w:rPr>
        <w:fldChar w:fldCharType="begin"/>
      </w:r>
      <w:r w:rsidR="006A13D8" w:rsidRPr="006A13D8">
        <w:rPr>
          <w:rFonts w:ascii="Times New Roman" w:eastAsia="Times New Roman" w:hAnsi="Times New Roman" w:cs="Times New Roman"/>
          <w:sz w:val="24"/>
          <w:szCs w:val="24"/>
          <w:lang w:eastAsia="hu-HU"/>
        </w:rPr>
        <w:instrText xml:space="preserve"> HYPERLINK "http://curia.europa.eu/juris/document/document.jsf;jsessionid=9ea7d0f130d62268c604dfa24339a3f7803d4ad823d9.e34KaxiLc3eQc40LaxqMbN4Pah8Se0?text=&amp;docid=185223&amp;pageIndex=0&amp;doclang=HU&amp;mode=req&amp;dir=&amp;occ=first&amp;part=1&amp;cid=378034" \l "Footref*" </w:instrText>
      </w:r>
      <w:r w:rsidRPr="006A13D8">
        <w:rPr>
          <w:rFonts w:ascii="Times New Roman" w:eastAsia="Times New Roman" w:hAnsi="Times New Roman" w:cs="Times New Roman"/>
          <w:sz w:val="24"/>
          <w:szCs w:val="24"/>
          <w:lang w:eastAsia="hu-HU"/>
        </w:rPr>
        <w:fldChar w:fldCharType="separate"/>
      </w:r>
      <w:r w:rsidR="006A13D8" w:rsidRPr="006A13D8">
        <w:rPr>
          <w:rFonts w:ascii="Times New Roman" w:eastAsia="Times New Roman" w:hAnsi="Times New Roman" w:cs="Times New Roman"/>
          <w:color w:val="0000FF"/>
          <w:sz w:val="24"/>
          <w:szCs w:val="24"/>
          <w:u w:val="single"/>
          <w:lang w:eastAsia="hu-HU"/>
        </w:rPr>
        <w:t>*</w:t>
      </w:r>
      <w:r w:rsidRPr="006A13D8">
        <w:rPr>
          <w:rFonts w:ascii="Times New Roman" w:eastAsia="Times New Roman" w:hAnsi="Times New Roman" w:cs="Times New Roman"/>
          <w:sz w:val="24"/>
          <w:szCs w:val="24"/>
          <w:lang w:eastAsia="hu-HU"/>
        </w:rPr>
        <w:fldChar w:fldCharType="end"/>
      </w:r>
      <w:bookmarkEnd w:id="76"/>
      <w:r w:rsidR="006A13D8" w:rsidRPr="006A13D8">
        <w:rPr>
          <w:rFonts w:ascii="Times New Roman" w:eastAsia="Times New Roman" w:hAnsi="Times New Roman" w:cs="Times New Roman"/>
          <w:sz w:val="24"/>
          <w:szCs w:val="24"/>
          <w:lang w:eastAsia="hu-HU"/>
        </w:rPr>
        <w:t xml:space="preserve"> Az eljárás nyelve: szlovák.</w:t>
      </w:r>
    </w:p>
    <w:p w:rsidR="006A13D8" w:rsidRPr="006A13D8" w:rsidRDefault="006A13D8" w:rsidP="006A13D8">
      <w:pPr>
        <w:pBdr>
          <w:top w:val="single" w:sz="6" w:space="1" w:color="auto"/>
        </w:pBdr>
        <w:spacing w:after="0" w:line="240" w:lineRule="auto"/>
        <w:jc w:val="center"/>
        <w:rPr>
          <w:rFonts w:ascii="Arial" w:eastAsia="Times New Roman" w:hAnsi="Arial" w:cs="Arial"/>
          <w:vanish/>
          <w:sz w:val="16"/>
          <w:szCs w:val="16"/>
          <w:lang w:eastAsia="hu-HU"/>
        </w:rPr>
      </w:pPr>
      <w:r w:rsidRPr="006A13D8">
        <w:rPr>
          <w:rFonts w:ascii="Arial" w:eastAsia="Times New Roman" w:hAnsi="Arial" w:cs="Arial"/>
          <w:vanish/>
          <w:sz w:val="16"/>
          <w:szCs w:val="16"/>
          <w:lang w:eastAsia="hu-HU"/>
        </w:rPr>
        <w:t>Az űrlap alja</w:t>
      </w:r>
    </w:p>
    <w:p w:rsidR="00F81FB5" w:rsidRDefault="00F81FB5"/>
    <w:sectPr w:rsidR="00F81FB5" w:rsidSect="00F81F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5D2D"/>
    <w:multiLevelType w:val="multilevel"/>
    <w:tmpl w:val="B884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610A3"/>
    <w:multiLevelType w:val="multilevel"/>
    <w:tmpl w:val="D8BE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F3F68"/>
    <w:multiLevelType w:val="multilevel"/>
    <w:tmpl w:val="8EEC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13D8"/>
    <w:rsid w:val="00170A03"/>
    <w:rsid w:val="00517F95"/>
    <w:rsid w:val="006A13D8"/>
    <w:rsid w:val="00827AF4"/>
    <w:rsid w:val="00AA3FA6"/>
    <w:rsid w:val="00C0699E"/>
    <w:rsid w:val="00F81FB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81FB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emlista">
    <w:name w:val="No List"/>
    <w:uiPriority w:val="99"/>
    <w:semiHidden/>
    <w:unhideWhenUsed/>
  </w:style>
  <w:style w:type="paragraph" w:styleId="z-Akrdvteteje">
    <w:name w:val="HTML Top of Form"/>
    <w:basedOn w:val="Norml"/>
    <w:next w:val="Norml"/>
    <w:link w:val="z-AkrdvtetejeChar"/>
    <w:hidden/>
    <w:uiPriority w:val="99"/>
    <w:semiHidden/>
    <w:unhideWhenUsed/>
    <w:rsid w:val="006A13D8"/>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6A13D8"/>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semiHidden/>
    <w:unhideWhenUsed/>
    <w:rsid w:val="006A13D8"/>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6A13D8"/>
    <w:rPr>
      <w:rFonts w:ascii="Arial" w:eastAsia="Times New Roman" w:hAnsi="Arial" w:cs="Arial"/>
      <w:vanish/>
      <w:sz w:val="16"/>
      <w:szCs w:val="16"/>
      <w:lang w:eastAsia="hu-HU"/>
    </w:rPr>
  </w:style>
  <w:style w:type="character" w:styleId="Hiperhivatkozs">
    <w:name w:val="Hyperlink"/>
    <w:basedOn w:val="Bekezdsalapbettpusa"/>
    <w:uiPriority w:val="99"/>
    <w:semiHidden/>
    <w:unhideWhenUsed/>
    <w:rsid w:val="006A13D8"/>
    <w:rPr>
      <w:color w:val="0000FF"/>
      <w:u w:val="single"/>
    </w:rPr>
  </w:style>
  <w:style w:type="character" w:styleId="Kiemels2">
    <w:name w:val="Strong"/>
    <w:basedOn w:val="Bekezdsalapbettpusa"/>
    <w:uiPriority w:val="22"/>
    <w:qFormat/>
    <w:rsid w:val="006A13D8"/>
    <w:rPr>
      <w:b/>
      <w:bCs/>
    </w:rPr>
  </w:style>
  <w:style w:type="character" w:customStyle="1" w:styleId="outputecli">
    <w:name w:val="outputecli"/>
    <w:basedOn w:val="Bekezdsalapbettpusa"/>
    <w:rsid w:val="006A13D8"/>
  </w:style>
  <w:style w:type="paragraph" w:customStyle="1" w:styleId="c19centre">
    <w:name w:val="c19centre"/>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71indicateur">
    <w:name w:val="c71indicateur"/>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02alineaalta">
    <w:name w:val="c02alineaalta"/>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03tiretlong">
    <w:name w:val="c03tiretlong"/>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75debutdesmotifs">
    <w:name w:val="c75debutdesmotifs"/>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01pointnumerotealtn">
    <w:name w:val="c01pointnumerotealtn"/>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04titre1">
    <w:name w:val="c04titre1"/>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05titre2">
    <w:name w:val="c05titre2"/>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09marge0avecretrait">
    <w:name w:val="c09marge0avecretrait"/>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12marge1avectiretlong">
    <w:name w:val="c12marge1avectiretlong"/>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41dispositifintroduction">
    <w:name w:val="c41dispositifintroduction"/>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08dispositif">
    <w:name w:val="c08dispositif"/>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34dispositifmarge1avectiretlong">
    <w:name w:val="c34dispositifmarge1avectiretlong"/>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77signatures">
    <w:name w:val="c77signatures"/>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42footnotelangue">
    <w:name w:val="c42footnotelangue"/>
    <w:basedOn w:val="Norml"/>
    <w:rsid w:val="006A13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6A13D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A13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1932973">
      <w:bodyDiv w:val="1"/>
      <w:marLeft w:val="0"/>
      <w:marRight w:val="0"/>
      <w:marTop w:val="0"/>
      <w:marBottom w:val="0"/>
      <w:divBdr>
        <w:top w:val="none" w:sz="0" w:space="0" w:color="auto"/>
        <w:left w:val="none" w:sz="0" w:space="0" w:color="auto"/>
        <w:bottom w:val="none" w:sz="0" w:space="0" w:color="auto"/>
        <w:right w:val="none" w:sz="0" w:space="0" w:color="auto"/>
      </w:divBdr>
      <w:divsChild>
        <w:div w:id="1572160272">
          <w:marLeft w:val="0"/>
          <w:marRight w:val="0"/>
          <w:marTop w:val="0"/>
          <w:marBottom w:val="0"/>
          <w:divBdr>
            <w:top w:val="none" w:sz="0" w:space="0" w:color="auto"/>
            <w:left w:val="none" w:sz="0" w:space="0" w:color="auto"/>
            <w:bottom w:val="none" w:sz="0" w:space="0" w:color="auto"/>
            <w:right w:val="none" w:sz="0" w:space="0" w:color="auto"/>
          </w:divBdr>
          <w:divsChild>
            <w:div w:id="1998992096">
              <w:marLeft w:val="0"/>
              <w:marRight w:val="0"/>
              <w:marTop w:val="0"/>
              <w:marBottom w:val="0"/>
              <w:divBdr>
                <w:top w:val="none" w:sz="0" w:space="0" w:color="auto"/>
                <w:left w:val="none" w:sz="0" w:space="0" w:color="auto"/>
                <w:bottom w:val="none" w:sz="0" w:space="0" w:color="auto"/>
                <w:right w:val="none" w:sz="0" w:space="0" w:color="auto"/>
              </w:divBdr>
              <w:divsChild>
                <w:div w:id="1787194652">
                  <w:marLeft w:val="0"/>
                  <w:marRight w:val="0"/>
                  <w:marTop w:val="0"/>
                  <w:marBottom w:val="0"/>
                  <w:divBdr>
                    <w:top w:val="none" w:sz="0" w:space="0" w:color="auto"/>
                    <w:left w:val="none" w:sz="0" w:space="0" w:color="auto"/>
                    <w:bottom w:val="none" w:sz="0" w:space="0" w:color="auto"/>
                    <w:right w:val="none" w:sz="0" w:space="0" w:color="auto"/>
                  </w:divBdr>
                  <w:divsChild>
                    <w:div w:id="490680231">
                      <w:marLeft w:val="0"/>
                      <w:marRight w:val="0"/>
                      <w:marTop w:val="0"/>
                      <w:marBottom w:val="0"/>
                      <w:divBdr>
                        <w:top w:val="none" w:sz="0" w:space="0" w:color="auto"/>
                        <w:left w:val="none" w:sz="0" w:space="0" w:color="auto"/>
                        <w:bottom w:val="none" w:sz="0" w:space="0" w:color="auto"/>
                        <w:right w:val="none" w:sz="0" w:space="0" w:color="auto"/>
                      </w:divBdr>
                    </w:div>
                    <w:div w:id="11127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02216">
          <w:marLeft w:val="0"/>
          <w:marRight w:val="0"/>
          <w:marTop w:val="0"/>
          <w:marBottom w:val="0"/>
          <w:divBdr>
            <w:top w:val="none" w:sz="0" w:space="0" w:color="auto"/>
            <w:left w:val="none" w:sz="0" w:space="0" w:color="auto"/>
            <w:bottom w:val="none" w:sz="0" w:space="0" w:color="auto"/>
            <w:right w:val="none" w:sz="0" w:space="0" w:color="auto"/>
          </w:divBdr>
          <w:divsChild>
            <w:div w:id="1398046064">
              <w:marLeft w:val="0"/>
              <w:marRight w:val="0"/>
              <w:marTop w:val="0"/>
              <w:marBottom w:val="0"/>
              <w:divBdr>
                <w:top w:val="none" w:sz="0" w:space="0" w:color="auto"/>
                <w:left w:val="none" w:sz="0" w:space="0" w:color="auto"/>
                <w:bottom w:val="none" w:sz="0" w:space="0" w:color="auto"/>
                <w:right w:val="none" w:sz="0" w:space="0" w:color="auto"/>
              </w:divBdr>
              <w:divsChild>
                <w:div w:id="1320618221">
                  <w:marLeft w:val="0"/>
                  <w:marRight w:val="0"/>
                  <w:marTop w:val="0"/>
                  <w:marBottom w:val="0"/>
                  <w:divBdr>
                    <w:top w:val="none" w:sz="0" w:space="0" w:color="auto"/>
                    <w:left w:val="none" w:sz="0" w:space="0" w:color="auto"/>
                    <w:bottom w:val="none" w:sz="0" w:space="0" w:color="auto"/>
                    <w:right w:val="none" w:sz="0" w:space="0" w:color="auto"/>
                  </w:divBdr>
                </w:div>
              </w:divsChild>
            </w:div>
            <w:div w:id="1296061268">
              <w:marLeft w:val="0"/>
              <w:marRight w:val="0"/>
              <w:marTop w:val="0"/>
              <w:marBottom w:val="0"/>
              <w:divBdr>
                <w:top w:val="none" w:sz="0" w:space="0" w:color="auto"/>
                <w:left w:val="none" w:sz="0" w:space="0" w:color="auto"/>
                <w:bottom w:val="none" w:sz="0" w:space="0" w:color="auto"/>
                <w:right w:val="none" w:sz="0" w:space="0" w:color="auto"/>
              </w:divBdr>
              <w:divsChild>
                <w:div w:id="1655839113">
                  <w:marLeft w:val="0"/>
                  <w:marRight w:val="0"/>
                  <w:marTop w:val="0"/>
                  <w:marBottom w:val="0"/>
                  <w:divBdr>
                    <w:top w:val="none" w:sz="0" w:space="0" w:color="auto"/>
                    <w:left w:val="none" w:sz="0" w:space="0" w:color="auto"/>
                    <w:bottom w:val="none" w:sz="0" w:space="0" w:color="auto"/>
                    <w:right w:val="none" w:sz="0" w:space="0" w:color="auto"/>
                  </w:divBdr>
                </w:div>
                <w:div w:id="9557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6308">
          <w:marLeft w:val="0"/>
          <w:marRight w:val="0"/>
          <w:marTop w:val="0"/>
          <w:marBottom w:val="0"/>
          <w:divBdr>
            <w:top w:val="none" w:sz="0" w:space="0" w:color="auto"/>
            <w:left w:val="none" w:sz="0" w:space="0" w:color="auto"/>
            <w:bottom w:val="none" w:sz="0" w:space="0" w:color="auto"/>
            <w:right w:val="none" w:sz="0" w:space="0" w:color="auto"/>
          </w:divBdr>
          <w:divsChild>
            <w:div w:id="1919436829">
              <w:marLeft w:val="0"/>
              <w:marRight w:val="0"/>
              <w:marTop w:val="0"/>
              <w:marBottom w:val="0"/>
              <w:divBdr>
                <w:top w:val="none" w:sz="0" w:space="0" w:color="auto"/>
                <w:left w:val="none" w:sz="0" w:space="0" w:color="auto"/>
                <w:bottom w:val="none" w:sz="0" w:space="0" w:color="auto"/>
                <w:right w:val="none" w:sz="0" w:space="0" w:color="auto"/>
              </w:divBdr>
            </w:div>
            <w:div w:id="985399632">
              <w:marLeft w:val="0"/>
              <w:marRight w:val="0"/>
              <w:marTop w:val="0"/>
              <w:marBottom w:val="0"/>
              <w:divBdr>
                <w:top w:val="none" w:sz="0" w:space="0" w:color="auto"/>
                <w:left w:val="none" w:sz="0" w:space="0" w:color="auto"/>
                <w:bottom w:val="none" w:sz="0" w:space="0" w:color="auto"/>
                <w:right w:val="none" w:sz="0" w:space="0" w:color="auto"/>
              </w:divBdr>
              <w:divsChild>
                <w:div w:id="731151404">
                  <w:marLeft w:val="0"/>
                  <w:marRight w:val="0"/>
                  <w:marTop w:val="0"/>
                  <w:marBottom w:val="0"/>
                  <w:divBdr>
                    <w:top w:val="none" w:sz="0" w:space="0" w:color="auto"/>
                    <w:left w:val="none" w:sz="0" w:space="0" w:color="auto"/>
                    <w:bottom w:val="none" w:sz="0" w:space="0" w:color="auto"/>
                    <w:right w:val="none" w:sz="0" w:space="0" w:color="auto"/>
                  </w:divBdr>
                </w:div>
                <w:div w:id="10396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1787">
          <w:marLeft w:val="0"/>
          <w:marRight w:val="0"/>
          <w:marTop w:val="0"/>
          <w:marBottom w:val="0"/>
          <w:divBdr>
            <w:top w:val="none" w:sz="0" w:space="0" w:color="auto"/>
            <w:left w:val="none" w:sz="0" w:space="0" w:color="auto"/>
            <w:bottom w:val="none" w:sz="0" w:space="0" w:color="auto"/>
            <w:right w:val="none" w:sz="0" w:space="0" w:color="auto"/>
          </w:divBdr>
          <w:divsChild>
            <w:div w:id="1392652586">
              <w:marLeft w:val="0"/>
              <w:marRight w:val="0"/>
              <w:marTop w:val="0"/>
              <w:marBottom w:val="0"/>
              <w:divBdr>
                <w:top w:val="none" w:sz="0" w:space="0" w:color="auto"/>
                <w:left w:val="none" w:sz="0" w:space="0" w:color="auto"/>
                <w:bottom w:val="none" w:sz="0" w:space="0" w:color="auto"/>
                <w:right w:val="none" w:sz="0" w:space="0" w:color="auto"/>
              </w:divBdr>
              <w:divsChild>
                <w:div w:id="539241604">
                  <w:marLeft w:val="0"/>
                  <w:marRight w:val="0"/>
                  <w:marTop w:val="0"/>
                  <w:marBottom w:val="0"/>
                  <w:divBdr>
                    <w:top w:val="none" w:sz="0" w:space="0" w:color="auto"/>
                    <w:left w:val="none" w:sz="0" w:space="0" w:color="auto"/>
                    <w:bottom w:val="none" w:sz="0" w:space="0" w:color="auto"/>
                    <w:right w:val="none" w:sz="0" w:space="0" w:color="auto"/>
                  </w:divBdr>
                  <w:divsChild>
                    <w:div w:id="560943768">
                      <w:marLeft w:val="0"/>
                      <w:marRight w:val="0"/>
                      <w:marTop w:val="0"/>
                      <w:marBottom w:val="0"/>
                      <w:divBdr>
                        <w:top w:val="none" w:sz="0" w:space="0" w:color="auto"/>
                        <w:left w:val="none" w:sz="0" w:space="0" w:color="auto"/>
                        <w:bottom w:val="none" w:sz="0" w:space="0" w:color="auto"/>
                        <w:right w:val="none" w:sz="0" w:space="0" w:color="auto"/>
                      </w:divBdr>
                    </w:div>
                    <w:div w:id="7030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curia.europa.eu/juris/document/document.jsf?docid=163909&amp;mode=req&amp;pageIndex=1&amp;dir=&amp;occ=first&amp;part=1&amp;text=&amp;doclang=HU&amp;cid=378034" TargetMode="External"/><Relationship Id="rId18" Type="http://schemas.openxmlformats.org/officeDocument/2006/relationships/hyperlink" Target="http://curia.europa.eu/juris/document/document.jsf;jsessionid=9ea7d0f130d62268c604dfa24339a3f7803d4ad823d9.e34KaxiLc3eQc40LaxqMbN4Pah8Se0?text=&amp;docid=185223&amp;pageIndex=0&amp;doclang=HU&amp;mode=req&amp;dir=&amp;occ=first&amp;part=1&amp;cid=37803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hyperlink" Target="http://curia.europa.eu/juris/document/document.jsf?docid=179821&amp;mode=req&amp;pageIndex=1&amp;dir=&amp;occ=first&amp;part=1&amp;text=&amp;doclang=HU&amp;cid=378034" TargetMode="External"/><Relationship Id="rId17" Type="http://schemas.openxmlformats.org/officeDocument/2006/relationships/hyperlink" Target="http://curia.europa.eu/juris/documents.jsf?pro=&amp;lgrec=hu&amp;nat=or&amp;oqp=&amp;lg=&amp;dates=&amp;language=hu&amp;jur=C%2CT%2CF&amp;cit=none%252CC%252CCJ%252CR%252C2008E%252C%252C%252C%252C%252C%252C%252C%252C%252C%252Ctrue%252Cfalse%252Cfalse&amp;num=C-42%252F15&amp;td=%3BALL&amp;pcs=Oor&amp;avg=&amp;page=1&amp;mat=or&amp;jge=&amp;for=&amp;cid=378034" TargetMode="External"/><Relationship Id="rId2" Type="http://schemas.openxmlformats.org/officeDocument/2006/relationships/styles" Target="styles.xml"/><Relationship Id="rId16" Type="http://schemas.openxmlformats.org/officeDocument/2006/relationships/hyperlink" Target="http://curia.europa.eu/juris/document/document.jsf?doclang=HU&amp;text=&amp;pageIndex=0&amp;part=1&amp;mode=req&amp;docid=185223&amp;occ=first&amp;dir=&amp;actionMethod=document%2Fdocument.xhtml%3AformController.resetAction&amp;cid=378034" TargetMode="External"/><Relationship Id="rId20" Type="http://schemas.openxmlformats.org/officeDocument/2006/relationships/hyperlink" Target="http://curia.europa.eu/juris/document/document_print.jsf?doclang=HU&amp;text=&amp;pageIndex=0&amp;part=1&amp;mode=req&amp;docid=185223&amp;occ=first&amp;dir=&amp;cid=378034"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curia.europa.eu/juris/document/document.jsf?docid=185223&amp;mode=req&amp;pageIndex=1&amp;dir=&amp;occ=first&amp;part=1&amp;text=&amp;doclang=HU&amp;cid=378034" TargetMode="External"/><Relationship Id="rId5" Type="http://schemas.openxmlformats.org/officeDocument/2006/relationships/image" Target="media/image1.gif"/><Relationship Id="rId15" Type="http://schemas.openxmlformats.org/officeDocument/2006/relationships/hyperlink" Target="http://curia.europa.eu/jcms/jcms/j_6?PortalAction_x_000_userLang=hu" TargetMode="External"/><Relationship Id="rId10" Type="http://schemas.openxmlformats.org/officeDocument/2006/relationships/image" Target="media/image5.gif"/><Relationship Id="rId19"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curia.europa.eu/juris/document/document.jsf?docid=179821&amp;pageIndex=1&amp;occ=first&amp;part=1&amp;text=&amp;doclang=HU&amp;mode=req&amp;dir=&amp;cid=378034" TargetMode="External"/><Relationship Id="rId14" Type="http://schemas.openxmlformats.org/officeDocument/2006/relationships/image" Target="media/image6.gif"/><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6936</Words>
  <Characters>47861</Characters>
  <Application>Microsoft Office Word</Application>
  <DocSecurity>0</DocSecurity>
  <Lines>398</Lines>
  <Paragraphs>109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rakoczi</dc:creator>
  <cp:lastModifiedBy>rakoczi</cp:lastModifiedBy>
  <cp:revision>2</cp:revision>
  <dcterms:created xsi:type="dcterms:W3CDTF">2016-12-06T19:01:00Z</dcterms:created>
  <dcterms:modified xsi:type="dcterms:W3CDTF">2016-12-06T19:01:00Z</dcterms:modified>
</cp:coreProperties>
</file>